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6D0122"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4E01320"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157C7E">
        <w:rPr>
          <w:rFonts w:ascii="Arial" w:hAnsi="Arial" w:cs="Arial"/>
          <w:b/>
          <w:color w:val="FF0000"/>
          <w:sz w:val="36"/>
          <w:szCs w:val="36"/>
          <w:lang w:val="ro-RO"/>
        </w:rPr>
        <w:t xml:space="preserve"> ISTODOR</w:t>
      </w:r>
    </w:p>
    <w:p w14:paraId="5B225B60" w14:textId="5ED81021"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157C7E">
        <w:rPr>
          <w:rFonts w:ascii="Arial" w:hAnsi="Arial" w:cs="Arial"/>
          <w:b/>
          <w:color w:val="FF0000"/>
          <w:sz w:val="36"/>
          <w:szCs w:val="36"/>
          <w:lang w:val="ro-RO"/>
        </w:rPr>
        <w:t xml:space="preserve"> ALIN-VIOREL</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1F5C4EF0"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157C7E">
        <w:rPr>
          <w:rFonts w:ascii="Arial" w:hAnsi="Arial" w:cs="Arial"/>
          <w:b/>
          <w:sz w:val="32"/>
          <w:szCs w:val="32"/>
          <w:lang w:val="ro-RO"/>
        </w:rPr>
        <w:t>ASISTENT UNIVERSITAR</w:t>
      </w:r>
      <w:r w:rsidR="00F61B62" w:rsidRPr="00F61B62">
        <w:rPr>
          <w:rFonts w:ascii="Arial" w:hAnsi="Arial" w:cs="Arial"/>
          <w:b/>
          <w:sz w:val="32"/>
          <w:szCs w:val="32"/>
          <w:lang w:val="ro-RO"/>
        </w:rPr>
        <w:t xml:space="preserve">  POZIŢIA </w:t>
      </w:r>
      <w:r w:rsidR="00157C7E">
        <w:rPr>
          <w:rFonts w:ascii="Arial" w:hAnsi="Arial" w:cs="Arial"/>
          <w:b/>
          <w:sz w:val="32"/>
          <w:szCs w:val="32"/>
          <w:lang w:val="ro-RO"/>
        </w:rPr>
        <w:t>17</w:t>
      </w:r>
      <w:r w:rsidR="00F61B62" w:rsidRPr="00F61B62">
        <w:rPr>
          <w:rFonts w:ascii="Arial" w:hAnsi="Arial" w:cs="Arial"/>
          <w:b/>
          <w:sz w:val="32"/>
          <w:szCs w:val="32"/>
          <w:lang w:val="ro-RO"/>
        </w:rPr>
        <w:t xml:space="preserve">      </w:t>
      </w:r>
    </w:p>
    <w:p w14:paraId="4B6E33CF" w14:textId="426FB096"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157C7E">
        <w:rPr>
          <w:rFonts w:ascii="Arial" w:hAnsi="Arial" w:cs="Arial"/>
          <w:b/>
          <w:sz w:val="32"/>
          <w:szCs w:val="32"/>
          <w:lang w:val="ro-RO"/>
        </w:rPr>
        <w:t>MEDICINĂ</w:t>
      </w:r>
    </w:p>
    <w:p w14:paraId="5DC6581A" w14:textId="42C61C34"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157C7E">
        <w:rPr>
          <w:rFonts w:ascii="Arial" w:hAnsi="Arial" w:cs="Arial"/>
          <w:b/>
          <w:sz w:val="32"/>
          <w:szCs w:val="32"/>
          <w:lang w:val="ro-RO"/>
        </w:rPr>
        <w:t>IX</w:t>
      </w:r>
    </w:p>
    <w:p w14:paraId="1D2EB75D" w14:textId="34C1F2B6"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157C7E">
        <w:rPr>
          <w:rFonts w:ascii="Arial" w:hAnsi="Arial" w:cs="Arial"/>
          <w:b/>
          <w:sz w:val="32"/>
          <w:szCs w:val="32"/>
          <w:lang w:val="ro-RO"/>
        </w:rPr>
        <w:t>SEMIOLOGIE CHIRURGICALĂ 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4AD2B50"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157C7E">
        <w:rPr>
          <w:rFonts w:ascii="Arial" w:hAnsi="Arial" w:cs="Arial"/>
          <w:b/>
          <w:color w:val="181818"/>
          <w:sz w:val="28"/>
          <w:szCs w:val="28"/>
          <w:lang w:val="ro-RO"/>
        </w:rPr>
        <w:t>MAI – 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0FF707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157C7E">
        <w:rPr>
          <w:rFonts w:ascii="Arial" w:hAnsi="Arial" w:cs="Arial"/>
          <w:b/>
          <w:sz w:val="24"/>
          <w:szCs w:val="24"/>
          <w:lang w:val="ro-RO"/>
        </w:rPr>
        <w:t xml:space="preserve"> ISTODOR</w:t>
      </w:r>
    </w:p>
    <w:p w14:paraId="5A4FFE87" w14:textId="4A6B849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157C7E">
        <w:rPr>
          <w:rFonts w:ascii="Arial" w:hAnsi="Arial" w:cs="Arial"/>
          <w:b/>
          <w:sz w:val="24"/>
          <w:szCs w:val="24"/>
          <w:lang w:val="ro-RO"/>
        </w:rPr>
        <w:t xml:space="preserve"> ALIN-VIOREL</w:t>
      </w:r>
    </w:p>
    <w:p w14:paraId="49E46A51" w14:textId="2F194C9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157C7E">
        <w:rPr>
          <w:rFonts w:ascii="Arial" w:hAnsi="Arial" w:cs="Arial"/>
          <w:b/>
          <w:sz w:val="24"/>
          <w:szCs w:val="24"/>
          <w:lang w:val="ro-RO"/>
        </w:rPr>
        <w:t xml:space="preserve"> UMFVBT</w:t>
      </w:r>
    </w:p>
    <w:p w14:paraId="5ACF8722" w14:textId="13F5792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157C7E">
        <w:rPr>
          <w:rFonts w:ascii="Arial" w:hAnsi="Arial" w:cs="Arial"/>
          <w:b/>
          <w:sz w:val="24"/>
          <w:szCs w:val="24"/>
          <w:lang w:val="ro-RO"/>
        </w:rPr>
        <w:t xml:space="preserve"> Semiologie Chirurgicală II</w:t>
      </w:r>
    </w:p>
    <w:p w14:paraId="667FF7CB" w14:textId="7747A72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157C7E">
        <w:rPr>
          <w:rFonts w:ascii="Arial" w:hAnsi="Arial" w:cs="Arial"/>
          <w:b/>
          <w:sz w:val="24"/>
          <w:szCs w:val="24"/>
          <w:lang w:val="ro-RO"/>
        </w:rPr>
        <w:t xml:space="preserve"> IX</w:t>
      </w:r>
    </w:p>
    <w:p w14:paraId="56521BC8" w14:textId="7DC817E4"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157C7E">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17B02EE9" w14:textId="77777777" w:rsidTr="00157C7E">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2209F74C"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157C7E">
              <w:rPr>
                <w:rFonts w:ascii="Arial" w:hAnsi="Arial" w:cs="Arial"/>
                <w:color w:val="181818"/>
                <w:sz w:val="24"/>
                <w:szCs w:val="24"/>
                <w:lang w:val="ro-RO"/>
              </w:rPr>
              <w:t xml:space="preserve">Seria I </w:t>
            </w:r>
            <w:r w:rsidRPr="00D0338F">
              <w:rPr>
                <w:rFonts w:ascii="Arial" w:hAnsi="Arial" w:cs="Arial"/>
                <w:color w:val="181818"/>
                <w:sz w:val="24"/>
                <w:szCs w:val="24"/>
                <w:lang w:val="ro-RO"/>
              </w:rPr>
              <w:t xml:space="preserve">Nr. </w:t>
            </w:r>
            <w:r w:rsidR="00157C7E">
              <w:rPr>
                <w:rFonts w:ascii="Arial" w:hAnsi="Arial" w:cs="Arial"/>
                <w:color w:val="181818"/>
                <w:sz w:val="24"/>
                <w:szCs w:val="24"/>
                <w:lang w:val="ro-RO"/>
              </w:rPr>
              <w:t>0003489</w:t>
            </w:r>
          </w:p>
        </w:tc>
        <w:tc>
          <w:tcPr>
            <w:tcW w:w="540" w:type="dxa"/>
            <w:vAlign w:val="center"/>
          </w:tcPr>
          <w:p w14:paraId="091E14AF" w14:textId="01423177" w:rsidR="00A84A25" w:rsidRPr="00D0338F" w:rsidRDefault="00A84A25" w:rsidP="00157C7E">
            <w:pPr>
              <w:spacing w:after="0" w:line="240" w:lineRule="auto"/>
              <w:jc w:val="center"/>
              <w:rPr>
                <w:rFonts w:ascii="Arial" w:hAnsi="Arial" w:cs="Arial"/>
                <w:b/>
                <w:color w:val="0000FF"/>
                <w:sz w:val="24"/>
                <w:szCs w:val="24"/>
                <w:lang w:val="ro-RO"/>
              </w:rPr>
            </w:pP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2CEA2AAD" w14:textId="77777777" w:rsidTr="00157C7E">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3FBD5FF2"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157C7E">
              <w:rPr>
                <w:rFonts w:ascii="Arial" w:hAnsi="Arial" w:cs="Arial"/>
                <w:color w:val="181818"/>
                <w:sz w:val="24"/>
                <w:szCs w:val="24"/>
                <w:lang w:val="ro-RO"/>
              </w:rPr>
              <w:t>1270/14.08.2019</w:t>
            </w:r>
          </w:p>
        </w:tc>
        <w:tc>
          <w:tcPr>
            <w:tcW w:w="540" w:type="dxa"/>
            <w:vAlign w:val="center"/>
          </w:tcPr>
          <w:p w14:paraId="5485C450" w14:textId="63704452" w:rsidR="00A84A25" w:rsidRPr="00D0338F" w:rsidRDefault="00A84A25" w:rsidP="00157C7E">
            <w:pPr>
              <w:spacing w:after="0" w:line="240" w:lineRule="auto"/>
              <w:jc w:val="center"/>
              <w:rPr>
                <w:rFonts w:ascii="Arial" w:hAnsi="Arial" w:cs="Arial"/>
                <w:b/>
                <w:color w:val="0000FF"/>
                <w:sz w:val="24"/>
                <w:szCs w:val="24"/>
                <w:lang w:val="ro-RO"/>
              </w:rPr>
            </w:pP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157C7E">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48272E0B"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157C7E">
              <w:rPr>
                <w:rFonts w:ascii="Arial" w:hAnsi="Arial" w:cs="Arial"/>
                <w:color w:val="181818"/>
                <w:sz w:val="24"/>
                <w:szCs w:val="24"/>
                <w:lang w:val="ro-RO"/>
              </w:rPr>
              <w:t>Seria X Nr. 0051100 și Seria X N</w:t>
            </w:r>
            <w:r w:rsidRPr="00D0338F">
              <w:rPr>
                <w:rFonts w:ascii="Arial" w:hAnsi="Arial" w:cs="Arial"/>
                <w:color w:val="181818"/>
                <w:sz w:val="24"/>
                <w:szCs w:val="24"/>
                <w:lang w:val="ro-RO"/>
              </w:rPr>
              <w:t>r</w:t>
            </w:r>
            <w:r w:rsidR="00157C7E">
              <w:rPr>
                <w:rFonts w:ascii="Arial" w:hAnsi="Arial" w:cs="Arial"/>
                <w:color w:val="181818"/>
                <w:sz w:val="24"/>
                <w:szCs w:val="24"/>
                <w:lang w:val="ro-RO"/>
              </w:rPr>
              <w:t>. 0051255</w:t>
            </w:r>
          </w:p>
        </w:tc>
        <w:tc>
          <w:tcPr>
            <w:tcW w:w="540" w:type="dxa"/>
            <w:vAlign w:val="center"/>
          </w:tcPr>
          <w:p w14:paraId="68496F46" w14:textId="64F9F06E" w:rsidR="00A84A25" w:rsidRPr="00D0338F" w:rsidRDefault="00A84A25" w:rsidP="00157C7E">
            <w:pPr>
              <w:spacing w:after="0" w:line="240" w:lineRule="auto"/>
              <w:jc w:val="center"/>
              <w:rPr>
                <w:rFonts w:ascii="Arial" w:hAnsi="Arial" w:cs="Arial"/>
                <w:b/>
                <w:color w:val="0000FF"/>
                <w:sz w:val="24"/>
                <w:szCs w:val="24"/>
                <w:lang w:val="ro-RO"/>
              </w:rPr>
            </w:pP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B6DF12" w14:textId="77777777" w:rsidTr="00157C7E">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vAlign w:val="center"/>
          </w:tcPr>
          <w:p w14:paraId="3747C581" w14:textId="63898DD1" w:rsidR="00957BCD" w:rsidRPr="00D0338F" w:rsidRDefault="00957BCD" w:rsidP="00157C7E">
            <w:pPr>
              <w:spacing w:after="0" w:line="240" w:lineRule="auto"/>
              <w:jc w:val="center"/>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157C7E">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vAlign w:val="center"/>
          </w:tcPr>
          <w:p w14:paraId="0234A144" w14:textId="2F126D4F" w:rsidR="00957BCD" w:rsidRPr="00D0338F" w:rsidRDefault="00957BCD" w:rsidP="00157C7E">
            <w:pPr>
              <w:spacing w:after="0" w:line="240" w:lineRule="auto"/>
              <w:jc w:val="center"/>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43827"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43827"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6D0122"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1644"/>
        <w:gridCol w:w="3266"/>
        <w:gridCol w:w="2187"/>
        <w:gridCol w:w="1397"/>
        <w:gridCol w:w="1799"/>
        <w:gridCol w:w="2045"/>
      </w:tblGrid>
      <w:tr w:rsidR="00342106" w:rsidRPr="00E43827" w14:paraId="51EFDC00" w14:textId="77777777" w:rsidTr="006B22D4">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644"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266"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2187"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799"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045"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6B22D4" w:rsidRPr="00D96F49" w14:paraId="303ED857" w14:textId="77777777" w:rsidTr="006B22D4">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644" w:type="dxa"/>
            <w:tcBorders>
              <w:top w:val="single" w:sz="4" w:space="0" w:color="auto"/>
              <w:left w:val="single" w:sz="4" w:space="0" w:color="auto"/>
              <w:bottom w:val="single" w:sz="4" w:space="0" w:color="auto"/>
              <w:right w:val="single" w:sz="4" w:space="0" w:color="auto"/>
            </w:tcBorders>
          </w:tcPr>
          <w:p w14:paraId="69685143" w14:textId="0E8F0D77" w:rsidR="00F403A7" w:rsidRPr="00D96F49" w:rsidRDefault="00342106" w:rsidP="00D0338F">
            <w:pPr>
              <w:spacing w:after="0" w:line="240" w:lineRule="auto"/>
              <w:jc w:val="both"/>
              <w:rPr>
                <w:rFonts w:ascii="Arial Narrow" w:hAnsi="Arial Narrow" w:cs="Arial"/>
                <w:b/>
                <w:color w:val="181818"/>
                <w:sz w:val="20"/>
                <w:szCs w:val="20"/>
                <w:lang w:val="ro-RO"/>
              </w:rPr>
            </w:pPr>
            <w:r w:rsidRPr="00342106">
              <w:rPr>
                <w:rFonts w:ascii="Arial Narrow" w:hAnsi="Arial Narrow" w:cs="Arial"/>
                <w:b/>
                <w:color w:val="181818"/>
                <w:sz w:val="20"/>
                <w:szCs w:val="20"/>
                <w:lang w:val="ro-RO"/>
              </w:rPr>
              <w:t>Istodor AV, Rusu LC, Noja GG, Roi A, Roi C, Bratu E, Moise G, Puiu M, Farcas SS, Andreescu NI</w:t>
            </w:r>
          </w:p>
        </w:tc>
        <w:tc>
          <w:tcPr>
            <w:tcW w:w="3266" w:type="dxa"/>
            <w:tcBorders>
              <w:top w:val="single" w:sz="4" w:space="0" w:color="auto"/>
              <w:left w:val="single" w:sz="4" w:space="0" w:color="auto"/>
              <w:bottom w:val="single" w:sz="4" w:space="0" w:color="auto"/>
              <w:right w:val="single" w:sz="4" w:space="0" w:color="auto"/>
            </w:tcBorders>
          </w:tcPr>
          <w:p w14:paraId="620264A9" w14:textId="65DA775A" w:rsidR="00F403A7" w:rsidRPr="00D96F49" w:rsidRDefault="00342106" w:rsidP="00D0338F">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An Observational Study on Cephalometric Characteristics and Patterns Associated with the Prader–Willi Syndrome: A Structural Equation Modelling and Network Approach</w:t>
            </w:r>
          </w:p>
        </w:tc>
        <w:tc>
          <w:tcPr>
            <w:tcW w:w="2187" w:type="dxa"/>
            <w:tcBorders>
              <w:top w:val="single" w:sz="4" w:space="0" w:color="auto"/>
              <w:left w:val="single" w:sz="4" w:space="0" w:color="auto"/>
              <w:bottom w:val="single" w:sz="4" w:space="0" w:color="auto"/>
              <w:right w:val="single" w:sz="4" w:space="0" w:color="auto"/>
            </w:tcBorders>
          </w:tcPr>
          <w:p w14:paraId="48663C7A" w14:textId="77777777" w:rsidR="00F403A7" w:rsidRDefault="00342106" w:rsidP="00D0338F">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Appl</w:t>
            </w:r>
            <w:r>
              <w:rPr>
                <w:rFonts w:ascii="Arial Narrow" w:hAnsi="Arial Narrow"/>
                <w:color w:val="181818"/>
                <w:sz w:val="24"/>
                <w:szCs w:val="24"/>
                <w:lang w:val="ro-RO"/>
              </w:rPr>
              <w:t xml:space="preserve">ied Sciences </w:t>
            </w:r>
            <w:r>
              <w:rPr>
                <w:rFonts w:ascii="Arial Narrow" w:hAnsi="Arial Narrow"/>
                <w:color w:val="181818"/>
                <w:sz w:val="24"/>
                <w:szCs w:val="24"/>
                <w:lang w:val="ro-RO"/>
              </w:rPr>
              <w:t>2021 Aprilie; (11):3177</w:t>
            </w:r>
          </w:p>
          <w:p w14:paraId="10DC81C3" w14:textId="54D923D3" w:rsidR="006B22D4" w:rsidRPr="00D96F49" w:rsidRDefault="006B22D4" w:rsidP="00D0338F">
            <w:pPr>
              <w:spacing w:after="0" w:line="240" w:lineRule="auto"/>
              <w:jc w:val="both"/>
              <w:rPr>
                <w:rFonts w:ascii="Arial Narrow" w:hAnsi="Arial Narrow" w:cs="Arial"/>
                <w:b/>
                <w:color w:val="181818"/>
                <w:sz w:val="24"/>
                <w:szCs w:val="24"/>
                <w:lang w:val="ro-RO"/>
              </w:rPr>
            </w:pPr>
            <w:r>
              <w:rPr>
                <w:rFonts w:ascii="Arial Narrow" w:hAnsi="Arial Narrow"/>
                <w:color w:val="181818"/>
                <w:sz w:val="24"/>
                <w:szCs w:val="24"/>
                <w:lang w:val="ro-RO"/>
              </w:rPr>
              <w:t>d</w:t>
            </w:r>
            <w:r>
              <w:rPr>
                <w:rFonts w:ascii="Arial Narrow" w:hAnsi="Arial Narrow"/>
                <w:color w:val="181818"/>
                <w:sz w:val="24"/>
                <w:szCs w:val="24"/>
                <w:lang w:val="ro-RO"/>
              </w:rPr>
              <w:t xml:space="preserve">oi: </w:t>
            </w:r>
            <w:r w:rsidRPr="004B0E8F">
              <w:rPr>
                <w:rFonts w:ascii="Arial Narrow" w:hAnsi="Arial Narrow"/>
                <w:color w:val="181818"/>
                <w:sz w:val="24"/>
                <w:szCs w:val="24"/>
                <w:lang w:val="ro-RO"/>
              </w:rPr>
              <w:t>10.3390/app11073177</w:t>
            </w:r>
          </w:p>
        </w:tc>
        <w:tc>
          <w:tcPr>
            <w:tcW w:w="1397" w:type="dxa"/>
            <w:tcBorders>
              <w:top w:val="single" w:sz="4" w:space="0" w:color="auto"/>
              <w:left w:val="single" w:sz="4" w:space="0" w:color="auto"/>
              <w:bottom w:val="single" w:sz="4" w:space="0" w:color="auto"/>
              <w:right w:val="single" w:sz="4" w:space="0" w:color="auto"/>
            </w:tcBorders>
          </w:tcPr>
          <w:p w14:paraId="766ACB8F" w14:textId="42092578" w:rsidR="00F403A7" w:rsidRPr="00D96F49" w:rsidRDefault="00342106"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799" w:type="dxa"/>
            <w:tcBorders>
              <w:top w:val="single" w:sz="4" w:space="0" w:color="auto"/>
              <w:left w:val="single" w:sz="4" w:space="0" w:color="auto"/>
              <w:bottom w:val="single" w:sz="4" w:space="0" w:color="auto"/>
              <w:right w:val="single" w:sz="4" w:space="0" w:color="auto"/>
            </w:tcBorders>
          </w:tcPr>
          <w:p w14:paraId="7A103637" w14:textId="4547EF13" w:rsidR="00F403A7" w:rsidRPr="00D96F49" w:rsidRDefault="00342106"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2.474</w:t>
            </w:r>
          </w:p>
        </w:tc>
        <w:tc>
          <w:tcPr>
            <w:tcW w:w="2045" w:type="dxa"/>
            <w:tcBorders>
              <w:top w:val="single" w:sz="4" w:space="0" w:color="auto"/>
              <w:left w:val="single" w:sz="4" w:space="0" w:color="auto"/>
              <w:bottom w:val="single" w:sz="4" w:space="0" w:color="auto"/>
              <w:right w:val="single" w:sz="4" w:space="0" w:color="auto"/>
            </w:tcBorders>
          </w:tcPr>
          <w:p w14:paraId="3A545FDB" w14:textId="77777777" w:rsidR="00342106" w:rsidRPr="00342106" w:rsidRDefault="00342106" w:rsidP="00342106">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First Department of Surgery, Second Discipline of Surgical Semiology, “Victor Babes” University of Medicine</w:t>
            </w:r>
          </w:p>
          <w:p w14:paraId="5AFCD331" w14:textId="3A00CA85" w:rsidR="00F403A7" w:rsidRPr="00D96F49" w:rsidRDefault="00342106" w:rsidP="00342106">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and Pharmacy, Timisoara, 2 Eftimie Murgu Square, 300041 Timisoara, Romania</w:t>
            </w:r>
          </w:p>
        </w:tc>
      </w:tr>
      <w:tr w:rsidR="006B22D4" w:rsidRPr="00D96F49" w14:paraId="4E98792C" w14:textId="77777777" w:rsidTr="006B22D4">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644" w:type="dxa"/>
            <w:tcBorders>
              <w:top w:val="single" w:sz="4" w:space="0" w:color="auto"/>
              <w:left w:val="single" w:sz="4" w:space="0" w:color="auto"/>
              <w:bottom w:val="single" w:sz="4" w:space="0" w:color="auto"/>
              <w:right w:val="single" w:sz="4" w:space="0" w:color="auto"/>
            </w:tcBorders>
          </w:tcPr>
          <w:p w14:paraId="3A601214" w14:textId="681E3A10" w:rsidR="00F403A7" w:rsidRPr="00D96F49" w:rsidRDefault="00342106" w:rsidP="00D0338F">
            <w:pPr>
              <w:spacing w:after="0" w:line="240" w:lineRule="auto"/>
              <w:jc w:val="both"/>
              <w:rPr>
                <w:rFonts w:ascii="Arial Narrow" w:hAnsi="Arial Narrow" w:cs="Arial"/>
                <w:b/>
                <w:color w:val="181818"/>
                <w:sz w:val="20"/>
                <w:szCs w:val="20"/>
                <w:lang w:val="ro-RO"/>
              </w:rPr>
            </w:pPr>
            <w:r w:rsidRPr="00342106">
              <w:rPr>
                <w:rFonts w:ascii="Arial Narrow" w:hAnsi="Arial Narrow" w:cs="Arial"/>
                <w:b/>
                <w:color w:val="181818"/>
                <w:sz w:val="20"/>
                <w:szCs w:val="20"/>
                <w:lang w:val="ro-RO"/>
              </w:rPr>
              <w:t xml:space="preserve">Cristea M, Noja GG, Jurcuţ CN, Ponea CŞ, Caragiani ES, </w:t>
            </w:r>
            <w:r w:rsidRPr="00342106">
              <w:rPr>
                <w:rFonts w:ascii="Arial Narrow" w:hAnsi="Arial Narrow" w:cs="Arial"/>
                <w:b/>
                <w:color w:val="181818"/>
                <w:sz w:val="20"/>
                <w:szCs w:val="20"/>
                <w:lang w:val="ro-RO"/>
              </w:rPr>
              <w:lastRenderedPageBreak/>
              <w:t>Istodor AV</w:t>
            </w:r>
          </w:p>
        </w:tc>
        <w:tc>
          <w:tcPr>
            <w:tcW w:w="3266" w:type="dxa"/>
            <w:tcBorders>
              <w:top w:val="single" w:sz="4" w:space="0" w:color="auto"/>
              <w:left w:val="single" w:sz="4" w:space="0" w:color="auto"/>
              <w:bottom w:val="single" w:sz="4" w:space="0" w:color="auto"/>
              <w:right w:val="single" w:sz="4" w:space="0" w:color="auto"/>
            </w:tcBorders>
          </w:tcPr>
          <w:p w14:paraId="12A25612" w14:textId="491ED037" w:rsidR="00342106" w:rsidRPr="00342106" w:rsidRDefault="00342106" w:rsidP="00342106">
            <w:pPr>
              <w:spacing w:after="0" w:line="240" w:lineRule="auto"/>
              <w:jc w:val="both"/>
              <w:rPr>
                <w:rFonts w:ascii="Arial Narrow" w:hAnsi="Arial Narrow" w:cs="Arial"/>
                <w:sz w:val="24"/>
                <w:szCs w:val="24"/>
                <w:lang w:val="ro-RO"/>
              </w:rPr>
            </w:pPr>
            <w:r w:rsidRPr="00342106">
              <w:rPr>
                <w:rFonts w:ascii="Arial Narrow" w:hAnsi="Arial Narrow" w:cs="Arial"/>
                <w:b/>
                <w:color w:val="181818"/>
                <w:sz w:val="24"/>
                <w:szCs w:val="24"/>
                <w:lang w:val="ro-RO"/>
              </w:rPr>
              <w:lastRenderedPageBreak/>
              <w:t xml:space="preserve">The Interplay between Public Health, Well-Being and Population Aging in Europe: An Advanced Structural Equation </w:t>
            </w:r>
            <w:r w:rsidRPr="00342106">
              <w:rPr>
                <w:rFonts w:ascii="Arial Narrow" w:hAnsi="Arial Narrow" w:cs="Arial"/>
                <w:b/>
                <w:color w:val="181818"/>
                <w:sz w:val="24"/>
                <w:szCs w:val="24"/>
                <w:lang w:val="ro-RO"/>
              </w:rPr>
              <w:lastRenderedPageBreak/>
              <w:t>Modelling and Gaussian Network Approach</w:t>
            </w:r>
          </w:p>
        </w:tc>
        <w:tc>
          <w:tcPr>
            <w:tcW w:w="2187" w:type="dxa"/>
            <w:tcBorders>
              <w:top w:val="single" w:sz="4" w:space="0" w:color="auto"/>
              <w:left w:val="single" w:sz="4" w:space="0" w:color="auto"/>
              <w:bottom w:val="single" w:sz="4" w:space="0" w:color="auto"/>
              <w:right w:val="single" w:sz="4" w:space="0" w:color="auto"/>
            </w:tcBorders>
          </w:tcPr>
          <w:p w14:paraId="2B4653C8" w14:textId="77777777" w:rsidR="00F403A7" w:rsidRDefault="00342106" w:rsidP="00D0338F">
            <w:pPr>
              <w:spacing w:after="0" w:line="240" w:lineRule="auto"/>
              <w:jc w:val="both"/>
              <w:rPr>
                <w:rFonts w:ascii="Arial Narrow" w:hAnsi="Arial Narrow"/>
                <w:color w:val="181818"/>
                <w:sz w:val="24"/>
                <w:szCs w:val="24"/>
                <w:lang w:val="ro-RO"/>
              </w:rPr>
            </w:pPr>
            <w:r w:rsidRPr="004B0E8F">
              <w:rPr>
                <w:rFonts w:ascii="Arial Narrow" w:hAnsi="Arial Narrow"/>
                <w:color w:val="181818"/>
                <w:sz w:val="24"/>
                <w:szCs w:val="24"/>
                <w:lang w:val="ro-RO"/>
              </w:rPr>
              <w:lastRenderedPageBreak/>
              <w:t>Int J Environ Res Public Health. 2021 Feb</w:t>
            </w:r>
            <w:r>
              <w:rPr>
                <w:rFonts w:ascii="Arial Narrow" w:hAnsi="Arial Narrow"/>
                <w:color w:val="181818"/>
                <w:sz w:val="24"/>
                <w:szCs w:val="24"/>
                <w:lang w:val="ro-RO"/>
              </w:rPr>
              <w:t>ruarie</w:t>
            </w:r>
            <w:r w:rsidRPr="004B0E8F">
              <w:rPr>
                <w:rFonts w:ascii="Arial Narrow" w:hAnsi="Arial Narrow"/>
                <w:color w:val="181818"/>
                <w:sz w:val="24"/>
                <w:szCs w:val="24"/>
                <w:lang w:val="ro-RO"/>
              </w:rPr>
              <w:t>;18(4):2015</w:t>
            </w:r>
          </w:p>
          <w:p w14:paraId="78CCAAFB" w14:textId="4408EB69" w:rsidR="006B22D4" w:rsidRPr="00D96F49" w:rsidRDefault="006B22D4" w:rsidP="00D0338F">
            <w:pPr>
              <w:spacing w:after="0" w:line="240" w:lineRule="auto"/>
              <w:jc w:val="both"/>
              <w:rPr>
                <w:rFonts w:ascii="Arial Narrow" w:hAnsi="Arial Narrow" w:cs="Arial"/>
                <w:b/>
                <w:color w:val="181818"/>
                <w:sz w:val="24"/>
                <w:szCs w:val="24"/>
                <w:lang w:val="ro-RO"/>
              </w:rPr>
            </w:pPr>
            <w:r w:rsidRPr="004B0E8F">
              <w:rPr>
                <w:rFonts w:ascii="Arial Narrow" w:hAnsi="Arial Narrow"/>
                <w:color w:val="181818"/>
                <w:sz w:val="24"/>
                <w:szCs w:val="24"/>
                <w:lang w:val="ro-RO"/>
              </w:rPr>
              <w:t xml:space="preserve">doi: </w:t>
            </w:r>
            <w:r w:rsidRPr="004B0E8F">
              <w:rPr>
                <w:rFonts w:ascii="Arial Narrow" w:hAnsi="Arial Narrow"/>
                <w:color w:val="181818"/>
                <w:sz w:val="24"/>
                <w:szCs w:val="24"/>
                <w:lang w:val="ro-RO"/>
              </w:rPr>
              <w:lastRenderedPageBreak/>
              <w:t>10.3390/ijerph18042015</w:t>
            </w:r>
          </w:p>
        </w:tc>
        <w:tc>
          <w:tcPr>
            <w:tcW w:w="1397" w:type="dxa"/>
            <w:tcBorders>
              <w:top w:val="single" w:sz="4" w:space="0" w:color="auto"/>
              <w:left w:val="single" w:sz="4" w:space="0" w:color="auto"/>
              <w:bottom w:val="single" w:sz="4" w:space="0" w:color="auto"/>
              <w:right w:val="single" w:sz="4" w:space="0" w:color="auto"/>
            </w:tcBorders>
          </w:tcPr>
          <w:p w14:paraId="5EC85319" w14:textId="20D8F295" w:rsidR="00F403A7" w:rsidRPr="00D96F49" w:rsidRDefault="00342106"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ISI</w:t>
            </w:r>
          </w:p>
        </w:tc>
        <w:tc>
          <w:tcPr>
            <w:tcW w:w="1799" w:type="dxa"/>
            <w:tcBorders>
              <w:top w:val="single" w:sz="4" w:space="0" w:color="auto"/>
              <w:left w:val="single" w:sz="4" w:space="0" w:color="auto"/>
              <w:bottom w:val="single" w:sz="4" w:space="0" w:color="auto"/>
              <w:right w:val="single" w:sz="4" w:space="0" w:color="auto"/>
            </w:tcBorders>
          </w:tcPr>
          <w:p w14:paraId="4628BFEC" w14:textId="1636D3CD" w:rsidR="00F403A7" w:rsidRPr="00D96F49" w:rsidRDefault="00342106"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2.849</w:t>
            </w:r>
          </w:p>
        </w:tc>
        <w:tc>
          <w:tcPr>
            <w:tcW w:w="2045" w:type="dxa"/>
            <w:tcBorders>
              <w:top w:val="single" w:sz="4" w:space="0" w:color="auto"/>
              <w:left w:val="single" w:sz="4" w:space="0" w:color="auto"/>
              <w:bottom w:val="single" w:sz="4" w:space="0" w:color="auto"/>
              <w:right w:val="single" w:sz="4" w:space="0" w:color="auto"/>
            </w:tcBorders>
          </w:tcPr>
          <w:p w14:paraId="0E15EE63" w14:textId="77777777" w:rsidR="00342106" w:rsidRPr="00342106" w:rsidRDefault="00342106" w:rsidP="00342106">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 xml:space="preserve">First Department of Surgery, Second Discipline of Surgical </w:t>
            </w:r>
            <w:r w:rsidRPr="00342106">
              <w:rPr>
                <w:rFonts w:ascii="Arial Narrow" w:hAnsi="Arial Narrow" w:cs="Arial"/>
                <w:b/>
                <w:color w:val="181818"/>
                <w:sz w:val="24"/>
                <w:szCs w:val="24"/>
                <w:lang w:val="ro-RO"/>
              </w:rPr>
              <w:lastRenderedPageBreak/>
              <w:t>Semiology, “Victor Babes” University of Medicine</w:t>
            </w:r>
          </w:p>
          <w:p w14:paraId="24579269" w14:textId="7A670774" w:rsidR="00F403A7" w:rsidRPr="00D96F49" w:rsidRDefault="00342106" w:rsidP="00342106">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and Pharmacy, Timisoara, 2 Eftimie Murgu Square, 300041 Timisoara, Romania</w:t>
            </w:r>
          </w:p>
        </w:tc>
      </w:tr>
      <w:tr w:rsidR="006B22D4" w:rsidRPr="00D96F49" w14:paraId="79A9E680" w14:textId="77777777" w:rsidTr="006B22D4">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342106" w:rsidRPr="00D96F49" w:rsidRDefault="00342106" w:rsidP="0034210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644" w:type="dxa"/>
            <w:tcBorders>
              <w:top w:val="single" w:sz="4" w:space="0" w:color="auto"/>
              <w:left w:val="single" w:sz="4" w:space="0" w:color="auto"/>
              <w:bottom w:val="single" w:sz="4" w:space="0" w:color="auto"/>
              <w:right w:val="single" w:sz="4" w:space="0" w:color="auto"/>
            </w:tcBorders>
          </w:tcPr>
          <w:p w14:paraId="6050F25E" w14:textId="4F871B60" w:rsidR="00342106" w:rsidRPr="00D96F49" w:rsidRDefault="00342106" w:rsidP="00342106">
            <w:pPr>
              <w:spacing w:after="0" w:line="240" w:lineRule="auto"/>
              <w:jc w:val="both"/>
              <w:rPr>
                <w:rFonts w:ascii="Arial Narrow" w:hAnsi="Arial Narrow" w:cs="Arial"/>
                <w:b/>
                <w:color w:val="181818"/>
                <w:sz w:val="20"/>
                <w:szCs w:val="20"/>
                <w:lang w:val="ro-RO"/>
              </w:rPr>
            </w:pPr>
            <w:r w:rsidRPr="00342106">
              <w:rPr>
                <w:rFonts w:ascii="Arial Narrow" w:hAnsi="Arial Narrow" w:cs="Arial"/>
                <w:b/>
                <w:color w:val="181818"/>
                <w:sz w:val="20"/>
                <w:szCs w:val="20"/>
                <w:lang w:val="ro-RO"/>
              </w:rPr>
              <w:t>Mocanu A, Noja GG, Istodor AV, Moise G, Leretter M, Rusu LC, Marza AM, Mederle AO</w:t>
            </w:r>
          </w:p>
        </w:tc>
        <w:tc>
          <w:tcPr>
            <w:tcW w:w="3266" w:type="dxa"/>
            <w:tcBorders>
              <w:top w:val="single" w:sz="4" w:space="0" w:color="auto"/>
              <w:left w:val="single" w:sz="4" w:space="0" w:color="auto"/>
              <w:bottom w:val="single" w:sz="4" w:space="0" w:color="auto"/>
              <w:right w:val="single" w:sz="4" w:space="0" w:color="auto"/>
            </w:tcBorders>
          </w:tcPr>
          <w:p w14:paraId="1C6EF27E" w14:textId="390F6129" w:rsidR="00342106" w:rsidRPr="00342106" w:rsidRDefault="00342106" w:rsidP="00342106">
            <w:pPr>
              <w:tabs>
                <w:tab w:val="left" w:pos="2411"/>
              </w:tabs>
              <w:rPr>
                <w:rFonts w:ascii="Arial Narrow" w:hAnsi="Arial Narrow" w:cs="Arial"/>
                <w:b/>
                <w:bCs/>
                <w:sz w:val="24"/>
                <w:szCs w:val="24"/>
                <w:lang w:val="ro-RO"/>
              </w:rPr>
            </w:pPr>
            <w:r w:rsidRPr="00342106">
              <w:rPr>
                <w:rFonts w:ascii="Arial Narrow" w:hAnsi="Arial Narrow" w:cs="Arial"/>
                <w:b/>
                <w:bCs/>
                <w:sz w:val="24"/>
                <w:szCs w:val="24"/>
                <w:lang w:val="ro-RO"/>
              </w:rPr>
              <w:t>Individual Characteristics as Prognostic Factors of the Evolution of Hospitalized COVID-19 Romanian Patients: A Comparative Observational Study between the First and Second Waves Based on Gaussian Graphical Models and Structural Equation Modeling</w:t>
            </w:r>
          </w:p>
        </w:tc>
        <w:tc>
          <w:tcPr>
            <w:tcW w:w="2187" w:type="dxa"/>
            <w:tcBorders>
              <w:top w:val="single" w:sz="4" w:space="0" w:color="auto"/>
              <w:left w:val="single" w:sz="4" w:space="0" w:color="auto"/>
              <w:bottom w:val="single" w:sz="4" w:space="0" w:color="auto"/>
              <w:right w:val="single" w:sz="4" w:space="0" w:color="auto"/>
            </w:tcBorders>
          </w:tcPr>
          <w:p w14:paraId="0B28789D" w14:textId="77777777" w:rsidR="00342106" w:rsidRDefault="00342106" w:rsidP="00342106">
            <w:pPr>
              <w:spacing w:after="0" w:line="240" w:lineRule="auto"/>
              <w:jc w:val="both"/>
              <w:rPr>
                <w:rFonts w:ascii="Arial Narrow" w:hAnsi="Arial Narrow"/>
                <w:color w:val="181818"/>
                <w:sz w:val="24"/>
                <w:szCs w:val="24"/>
                <w:lang w:val="ro-RO"/>
              </w:rPr>
            </w:pPr>
            <w:r w:rsidRPr="004B0E8F">
              <w:rPr>
                <w:rFonts w:ascii="Arial Narrow" w:hAnsi="Arial Narrow"/>
                <w:color w:val="181818"/>
                <w:sz w:val="24"/>
                <w:szCs w:val="24"/>
                <w:lang w:val="ro-RO"/>
              </w:rPr>
              <w:t>J Clin Med. 2021 May 2;10(9):1958</w:t>
            </w:r>
          </w:p>
          <w:p w14:paraId="6759864A" w14:textId="2AA7D848" w:rsidR="006B22D4" w:rsidRPr="00D96F49" w:rsidRDefault="006B22D4" w:rsidP="00342106">
            <w:pPr>
              <w:spacing w:after="0" w:line="240" w:lineRule="auto"/>
              <w:jc w:val="both"/>
              <w:rPr>
                <w:rFonts w:ascii="Arial Narrow" w:hAnsi="Arial Narrow" w:cs="Arial"/>
                <w:b/>
                <w:color w:val="181818"/>
                <w:sz w:val="24"/>
                <w:szCs w:val="24"/>
                <w:lang w:val="ro-RO"/>
              </w:rPr>
            </w:pPr>
            <w:r w:rsidRPr="004B0E8F">
              <w:rPr>
                <w:rFonts w:ascii="Arial Narrow" w:hAnsi="Arial Narrow"/>
                <w:color w:val="181818"/>
                <w:sz w:val="24"/>
                <w:szCs w:val="24"/>
                <w:lang w:val="ro-RO"/>
              </w:rPr>
              <w:t>doi: 10.3390/jcm10091958</w:t>
            </w:r>
          </w:p>
        </w:tc>
        <w:tc>
          <w:tcPr>
            <w:tcW w:w="1397" w:type="dxa"/>
            <w:tcBorders>
              <w:top w:val="single" w:sz="4" w:space="0" w:color="auto"/>
              <w:left w:val="single" w:sz="4" w:space="0" w:color="auto"/>
              <w:bottom w:val="single" w:sz="4" w:space="0" w:color="auto"/>
              <w:right w:val="single" w:sz="4" w:space="0" w:color="auto"/>
            </w:tcBorders>
          </w:tcPr>
          <w:p w14:paraId="7081BFC3" w14:textId="480FE4A0" w:rsidR="00342106" w:rsidRPr="00D96F49" w:rsidRDefault="00342106" w:rsidP="0034210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799" w:type="dxa"/>
            <w:tcBorders>
              <w:top w:val="single" w:sz="4" w:space="0" w:color="auto"/>
              <w:left w:val="single" w:sz="4" w:space="0" w:color="auto"/>
              <w:bottom w:val="single" w:sz="4" w:space="0" w:color="auto"/>
              <w:right w:val="single" w:sz="4" w:space="0" w:color="auto"/>
            </w:tcBorders>
          </w:tcPr>
          <w:p w14:paraId="3CA697D9" w14:textId="731E00B6" w:rsidR="00342106" w:rsidRPr="00D96F49" w:rsidRDefault="00342106" w:rsidP="0034210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3.303</w:t>
            </w:r>
          </w:p>
        </w:tc>
        <w:tc>
          <w:tcPr>
            <w:tcW w:w="2045" w:type="dxa"/>
            <w:tcBorders>
              <w:top w:val="single" w:sz="4" w:space="0" w:color="auto"/>
              <w:left w:val="single" w:sz="4" w:space="0" w:color="auto"/>
              <w:bottom w:val="single" w:sz="4" w:space="0" w:color="auto"/>
              <w:right w:val="single" w:sz="4" w:space="0" w:color="auto"/>
            </w:tcBorders>
          </w:tcPr>
          <w:p w14:paraId="34BE3AC7" w14:textId="77777777" w:rsidR="00342106" w:rsidRPr="00342106" w:rsidRDefault="00342106" w:rsidP="00342106">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First Department of Surgery, Second Discipline of Surgical Semiology, “Victor Babes” University of Medicine</w:t>
            </w:r>
          </w:p>
          <w:p w14:paraId="5E1C2AFC" w14:textId="00E1C182" w:rsidR="00342106" w:rsidRPr="00D96F49" w:rsidRDefault="00342106" w:rsidP="00342106">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and Pharmacy, Timisoara, 2 Eftimie Murgu Square, 300041 Timisoara, Romania</w:t>
            </w:r>
          </w:p>
        </w:tc>
      </w:tr>
      <w:tr w:rsidR="006B22D4" w:rsidRPr="00D96F49" w14:paraId="7254D0A2" w14:textId="77777777" w:rsidTr="006B22D4">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5F28C963" w:rsidR="00342106" w:rsidRPr="00D96F49" w:rsidRDefault="006B22D4" w:rsidP="0034210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644" w:type="dxa"/>
            <w:tcBorders>
              <w:top w:val="single" w:sz="4" w:space="0" w:color="auto"/>
              <w:left w:val="single" w:sz="4" w:space="0" w:color="auto"/>
              <w:bottom w:val="single" w:sz="4" w:space="0" w:color="auto"/>
              <w:right w:val="single" w:sz="4" w:space="0" w:color="auto"/>
            </w:tcBorders>
          </w:tcPr>
          <w:p w14:paraId="4C1F544B" w14:textId="62C95236" w:rsidR="00342106" w:rsidRPr="00D96F49" w:rsidRDefault="006B22D4" w:rsidP="006B22D4">
            <w:pPr>
              <w:spacing w:after="0" w:line="240" w:lineRule="auto"/>
              <w:jc w:val="center"/>
              <w:rPr>
                <w:rFonts w:ascii="Arial Narrow" w:hAnsi="Arial Narrow" w:cs="Arial"/>
                <w:b/>
                <w:color w:val="181818"/>
                <w:sz w:val="20"/>
                <w:szCs w:val="20"/>
                <w:lang w:val="ro-RO"/>
              </w:rPr>
            </w:pPr>
            <w:r w:rsidRPr="006B22D4">
              <w:rPr>
                <w:rFonts w:ascii="Arial Narrow" w:hAnsi="Arial Narrow" w:cs="Arial"/>
                <w:b/>
                <w:color w:val="181818"/>
                <w:sz w:val="20"/>
                <w:szCs w:val="20"/>
                <w:lang w:val="ro-RO"/>
              </w:rPr>
              <w:t>Istodor A, Ilina R. Preda M, Ardelean O, Mazilu O</w:t>
            </w:r>
          </w:p>
        </w:tc>
        <w:tc>
          <w:tcPr>
            <w:tcW w:w="3266" w:type="dxa"/>
            <w:tcBorders>
              <w:top w:val="single" w:sz="4" w:space="0" w:color="auto"/>
              <w:left w:val="single" w:sz="4" w:space="0" w:color="auto"/>
              <w:bottom w:val="single" w:sz="4" w:space="0" w:color="auto"/>
              <w:right w:val="single" w:sz="4" w:space="0" w:color="auto"/>
            </w:tcBorders>
          </w:tcPr>
          <w:p w14:paraId="68F193AA" w14:textId="232C5CC8" w:rsidR="00342106" w:rsidRPr="00D96F49" w:rsidRDefault="006B22D4" w:rsidP="006B22D4">
            <w:pPr>
              <w:spacing w:after="0" w:line="240" w:lineRule="auto"/>
              <w:jc w:val="center"/>
              <w:rPr>
                <w:rFonts w:ascii="Arial Narrow" w:hAnsi="Arial Narrow" w:cs="Arial"/>
                <w:b/>
                <w:color w:val="181818"/>
                <w:sz w:val="24"/>
                <w:szCs w:val="24"/>
                <w:lang w:val="ro-RO"/>
              </w:rPr>
            </w:pPr>
            <w:r w:rsidRPr="006B22D4">
              <w:rPr>
                <w:rFonts w:ascii="Arial Narrow" w:hAnsi="Arial Narrow" w:cs="Arial"/>
                <w:b/>
                <w:color w:val="181818"/>
                <w:sz w:val="24"/>
                <w:szCs w:val="24"/>
                <w:lang w:val="ro-RO"/>
              </w:rPr>
              <w:t>Central Necessity Hepatectomy for Spontaneous Rupture of Hepatocellular Carcinoma at a Patient with Portal Bifurcation Thrombosis</w:t>
            </w:r>
          </w:p>
        </w:tc>
        <w:tc>
          <w:tcPr>
            <w:tcW w:w="2187" w:type="dxa"/>
            <w:tcBorders>
              <w:top w:val="single" w:sz="4" w:space="0" w:color="auto"/>
              <w:left w:val="single" w:sz="4" w:space="0" w:color="auto"/>
              <w:bottom w:val="single" w:sz="4" w:space="0" w:color="auto"/>
              <w:right w:val="single" w:sz="4" w:space="0" w:color="auto"/>
            </w:tcBorders>
          </w:tcPr>
          <w:p w14:paraId="5309051D" w14:textId="1C15FA3C" w:rsidR="00342106" w:rsidRDefault="006B22D4" w:rsidP="00342106">
            <w:pPr>
              <w:spacing w:after="0" w:line="240" w:lineRule="auto"/>
              <w:jc w:val="both"/>
              <w:rPr>
                <w:rFonts w:ascii="Arial Narrow" w:hAnsi="Arial Narrow" w:cs="Arial"/>
                <w:b/>
                <w:color w:val="181818"/>
                <w:sz w:val="24"/>
                <w:szCs w:val="24"/>
                <w:lang w:val="ro-RO"/>
              </w:rPr>
            </w:pPr>
            <w:r>
              <w:rPr>
                <w:rFonts w:ascii="Arial Narrow" w:hAnsi="Arial Narrow"/>
                <w:color w:val="181818"/>
                <w:sz w:val="24"/>
                <w:szCs w:val="24"/>
                <w:lang w:val="ro-RO"/>
              </w:rPr>
              <w:t>Journal of Surgical Sciences. 2019 Decembrie. 6(4): 112-115</w:t>
            </w:r>
          </w:p>
          <w:p w14:paraId="16BAD978" w14:textId="37159BDC" w:rsidR="006B22D4" w:rsidRPr="006B22D4" w:rsidRDefault="006B22D4" w:rsidP="006B22D4">
            <w:pPr>
              <w:ind w:firstLine="720"/>
              <w:rPr>
                <w:rFonts w:ascii="Arial Narrow" w:hAnsi="Arial Narrow" w:cs="Arial"/>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19359BF9" w14:textId="32C17209" w:rsidR="00342106" w:rsidRPr="00D96F49" w:rsidRDefault="006B22D4" w:rsidP="0034210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BDI</w:t>
            </w:r>
          </w:p>
        </w:tc>
        <w:tc>
          <w:tcPr>
            <w:tcW w:w="1799" w:type="dxa"/>
            <w:tcBorders>
              <w:top w:val="single" w:sz="4" w:space="0" w:color="auto"/>
              <w:left w:val="single" w:sz="4" w:space="0" w:color="auto"/>
              <w:bottom w:val="single" w:sz="4" w:space="0" w:color="auto"/>
              <w:right w:val="single" w:sz="4" w:space="0" w:color="auto"/>
            </w:tcBorders>
          </w:tcPr>
          <w:p w14:paraId="38AD6EF5" w14:textId="77777777" w:rsidR="00342106" w:rsidRPr="00D96F49" w:rsidRDefault="00342106" w:rsidP="00342106">
            <w:pPr>
              <w:spacing w:after="0" w:line="240" w:lineRule="auto"/>
              <w:jc w:val="both"/>
              <w:rPr>
                <w:rFonts w:ascii="Arial Narrow" w:hAnsi="Arial Narrow" w:cs="Arial"/>
                <w:b/>
                <w:color w:val="181818"/>
                <w:sz w:val="24"/>
                <w:szCs w:val="24"/>
                <w:lang w:val="ro-RO"/>
              </w:rPr>
            </w:pPr>
          </w:p>
        </w:tc>
        <w:tc>
          <w:tcPr>
            <w:tcW w:w="2045" w:type="dxa"/>
            <w:tcBorders>
              <w:top w:val="single" w:sz="4" w:space="0" w:color="auto"/>
              <w:left w:val="single" w:sz="4" w:space="0" w:color="auto"/>
              <w:bottom w:val="single" w:sz="4" w:space="0" w:color="auto"/>
              <w:right w:val="single" w:sz="4" w:space="0" w:color="auto"/>
            </w:tcBorders>
          </w:tcPr>
          <w:p w14:paraId="40976C59" w14:textId="77777777" w:rsidR="006B22D4" w:rsidRPr="00342106" w:rsidRDefault="006B22D4" w:rsidP="006B22D4">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First Department of Surgery, Second Discipline of Surgical Semiology, “Victor Babes” University of Medicine</w:t>
            </w:r>
          </w:p>
          <w:p w14:paraId="70867C20" w14:textId="6B932E73" w:rsidR="00342106" w:rsidRPr="00D96F49" w:rsidRDefault="006B22D4" w:rsidP="006B22D4">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and Pharmacy, Timisoara, Timisoara, Romania</w:t>
            </w:r>
          </w:p>
        </w:tc>
      </w:tr>
      <w:tr w:rsidR="006B22D4" w:rsidRPr="00D96F49" w14:paraId="6C45DCBA" w14:textId="77777777" w:rsidTr="006B22D4">
        <w:trPr>
          <w:trHeight w:val="220"/>
        </w:trPr>
        <w:tc>
          <w:tcPr>
            <w:tcW w:w="490" w:type="dxa"/>
            <w:tcBorders>
              <w:top w:val="single" w:sz="4" w:space="0" w:color="auto"/>
              <w:left w:val="single" w:sz="4" w:space="0" w:color="auto"/>
              <w:bottom w:val="single" w:sz="4" w:space="0" w:color="auto"/>
              <w:right w:val="single" w:sz="4" w:space="0" w:color="auto"/>
            </w:tcBorders>
          </w:tcPr>
          <w:p w14:paraId="38162F03" w14:textId="5D3156E4" w:rsidR="006B22D4" w:rsidRDefault="006B22D4" w:rsidP="0034210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1644" w:type="dxa"/>
            <w:tcBorders>
              <w:top w:val="single" w:sz="4" w:space="0" w:color="auto"/>
              <w:left w:val="single" w:sz="4" w:space="0" w:color="auto"/>
              <w:bottom w:val="single" w:sz="4" w:space="0" w:color="auto"/>
              <w:right w:val="single" w:sz="4" w:space="0" w:color="auto"/>
            </w:tcBorders>
          </w:tcPr>
          <w:p w14:paraId="46166AB8" w14:textId="53F9BE8C" w:rsidR="006B22D4" w:rsidRPr="006B22D4" w:rsidRDefault="006B22D4" w:rsidP="006B22D4">
            <w:pPr>
              <w:tabs>
                <w:tab w:val="left" w:pos="1256"/>
              </w:tabs>
              <w:spacing w:after="0" w:line="240" w:lineRule="auto"/>
              <w:rPr>
                <w:rFonts w:ascii="Arial Narrow" w:hAnsi="Arial Narrow" w:cs="Arial"/>
                <w:b/>
                <w:color w:val="181818"/>
                <w:sz w:val="20"/>
                <w:szCs w:val="20"/>
                <w:lang w:val="ro-RO"/>
              </w:rPr>
            </w:pPr>
            <w:r w:rsidRPr="006B22D4">
              <w:rPr>
                <w:rFonts w:ascii="Arial Narrow" w:hAnsi="Arial Narrow" w:cs="Arial"/>
                <w:b/>
                <w:color w:val="181818"/>
                <w:sz w:val="20"/>
                <w:szCs w:val="20"/>
                <w:lang w:val="ro-RO"/>
              </w:rPr>
              <w:t xml:space="preserve">Istodor A, </w:t>
            </w:r>
            <w:r w:rsidRPr="006B22D4">
              <w:rPr>
                <w:rFonts w:ascii="Arial Narrow" w:hAnsi="Arial Narrow" w:cs="Arial"/>
                <w:b/>
                <w:color w:val="181818"/>
                <w:sz w:val="20"/>
                <w:szCs w:val="20"/>
                <w:lang w:val="ro-RO"/>
              </w:rPr>
              <w:lastRenderedPageBreak/>
              <w:t>Ardelean O, Radulescu C, Mazilu O</w:t>
            </w:r>
          </w:p>
        </w:tc>
        <w:tc>
          <w:tcPr>
            <w:tcW w:w="3266" w:type="dxa"/>
            <w:tcBorders>
              <w:top w:val="single" w:sz="4" w:space="0" w:color="auto"/>
              <w:left w:val="single" w:sz="4" w:space="0" w:color="auto"/>
              <w:bottom w:val="single" w:sz="4" w:space="0" w:color="auto"/>
              <w:right w:val="single" w:sz="4" w:space="0" w:color="auto"/>
            </w:tcBorders>
          </w:tcPr>
          <w:p w14:paraId="6508EC82" w14:textId="146123D9" w:rsidR="006B22D4" w:rsidRPr="00D96F49" w:rsidRDefault="006B22D4" w:rsidP="00342106">
            <w:pPr>
              <w:spacing w:after="0" w:line="240" w:lineRule="auto"/>
              <w:jc w:val="both"/>
              <w:rPr>
                <w:rFonts w:ascii="Arial Narrow" w:hAnsi="Arial Narrow" w:cs="Arial"/>
                <w:b/>
                <w:color w:val="181818"/>
                <w:sz w:val="24"/>
                <w:szCs w:val="24"/>
                <w:lang w:val="ro-RO"/>
              </w:rPr>
            </w:pPr>
            <w:r w:rsidRPr="006B22D4">
              <w:rPr>
                <w:rFonts w:ascii="Arial Narrow" w:hAnsi="Arial Narrow" w:cs="Arial"/>
                <w:b/>
                <w:color w:val="181818"/>
                <w:sz w:val="24"/>
                <w:szCs w:val="24"/>
                <w:lang w:val="ro-RO"/>
              </w:rPr>
              <w:lastRenderedPageBreak/>
              <w:t xml:space="preserve">Recurrence of Malignant </w:t>
            </w:r>
            <w:r w:rsidRPr="006B22D4">
              <w:rPr>
                <w:rFonts w:ascii="Arial Narrow" w:hAnsi="Arial Narrow" w:cs="Arial"/>
                <w:b/>
                <w:color w:val="181818"/>
                <w:sz w:val="24"/>
                <w:szCs w:val="24"/>
                <w:lang w:val="ro-RO"/>
              </w:rPr>
              <w:lastRenderedPageBreak/>
              <w:t>Peripheral Nerve Sheath Tumor</w:t>
            </w:r>
          </w:p>
        </w:tc>
        <w:tc>
          <w:tcPr>
            <w:tcW w:w="2187" w:type="dxa"/>
            <w:tcBorders>
              <w:top w:val="single" w:sz="4" w:space="0" w:color="auto"/>
              <w:left w:val="single" w:sz="4" w:space="0" w:color="auto"/>
              <w:bottom w:val="single" w:sz="4" w:space="0" w:color="auto"/>
              <w:right w:val="single" w:sz="4" w:space="0" w:color="auto"/>
            </w:tcBorders>
          </w:tcPr>
          <w:p w14:paraId="7535C011" w14:textId="2A16438A" w:rsidR="006B22D4" w:rsidRDefault="006B22D4" w:rsidP="00342106">
            <w:pPr>
              <w:spacing w:after="0" w:line="240" w:lineRule="auto"/>
              <w:jc w:val="both"/>
              <w:rPr>
                <w:rFonts w:ascii="Arial Narrow" w:hAnsi="Arial Narrow" w:cs="Arial"/>
                <w:b/>
                <w:color w:val="181818"/>
                <w:sz w:val="24"/>
                <w:szCs w:val="24"/>
                <w:lang w:val="ro-RO"/>
              </w:rPr>
            </w:pPr>
            <w:r>
              <w:rPr>
                <w:rFonts w:ascii="Arial Narrow" w:hAnsi="Arial Narrow"/>
                <w:color w:val="181818"/>
                <w:sz w:val="24"/>
                <w:szCs w:val="24"/>
                <w:lang w:val="ro-RO"/>
              </w:rPr>
              <w:lastRenderedPageBreak/>
              <w:t xml:space="preserve">Journal of Surgical </w:t>
            </w:r>
            <w:r>
              <w:rPr>
                <w:rFonts w:ascii="Arial Narrow" w:hAnsi="Arial Narrow"/>
                <w:color w:val="181818"/>
                <w:sz w:val="24"/>
                <w:szCs w:val="24"/>
                <w:lang w:val="ro-RO"/>
              </w:rPr>
              <w:lastRenderedPageBreak/>
              <w:t>Sciences. 2020 Decembrie. 7(4): 145-148</w:t>
            </w:r>
          </w:p>
          <w:p w14:paraId="22662500" w14:textId="5646CD10" w:rsidR="006B22D4" w:rsidRPr="006B22D4" w:rsidRDefault="006B22D4" w:rsidP="006B22D4">
            <w:pPr>
              <w:jc w:val="center"/>
              <w:rPr>
                <w:rFonts w:ascii="Arial Narrow" w:hAnsi="Arial Narrow" w:cs="Arial"/>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43A62872" w14:textId="6683E75D" w:rsidR="006B22D4" w:rsidRPr="00D96F49" w:rsidRDefault="006B22D4" w:rsidP="0034210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BDI</w:t>
            </w:r>
          </w:p>
        </w:tc>
        <w:tc>
          <w:tcPr>
            <w:tcW w:w="1799" w:type="dxa"/>
            <w:tcBorders>
              <w:top w:val="single" w:sz="4" w:space="0" w:color="auto"/>
              <w:left w:val="single" w:sz="4" w:space="0" w:color="auto"/>
              <w:bottom w:val="single" w:sz="4" w:space="0" w:color="auto"/>
              <w:right w:val="single" w:sz="4" w:space="0" w:color="auto"/>
            </w:tcBorders>
          </w:tcPr>
          <w:p w14:paraId="586A8723" w14:textId="77777777" w:rsidR="006B22D4" w:rsidRPr="00D96F49" w:rsidRDefault="006B22D4" w:rsidP="00342106">
            <w:pPr>
              <w:spacing w:after="0" w:line="240" w:lineRule="auto"/>
              <w:jc w:val="both"/>
              <w:rPr>
                <w:rFonts w:ascii="Arial Narrow" w:hAnsi="Arial Narrow" w:cs="Arial"/>
                <w:b/>
                <w:color w:val="181818"/>
                <w:sz w:val="24"/>
                <w:szCs w:val="24"/>
                <w:lang w:val="ro-RO"/>
              </w:rPr>
            </w:pPr>
          </w:p>
        </w:tc>
        <w:tc>
          <w:tcPr>
            <w:tcW w:w="2045" w:type="dxa"/>
            <w:tcBorders>
              <w:top w:val="single" w:sz="4" w:space="0" w:color="auto"/>
              <w:left w:val="single" w:sz="4" w:space="0" w:color="auto"/>
              <w:bottom w:val="single" w:sz="4" w:space="0" w:color="auto"/>
              <w:right w:val="single" w:sz="4" w:space="0" w:color="auto"/>
            </w:tcBorders>
          </w:tcPr>
          <w:p w14:paraId="3F890DFE" w14:textId="77777777" w:rsidR="006B22D4" w:rsidRPr="00342106" w:rsidRDefault="006B22D4" w:rsidP="006B22D4">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 xml:space="preserve">First Department of </w:t>
            </w:r>
            <w:r w:rsidRPr="00342106">
              <w:rPr>
                <w:rFonts w:ascii="Arial Narrow" w:hAnsi="Arial Narrow" w:cs="Arial"/>
                <w:b/>
                <w:color w:val="181818"/>
                <w:sz w:val="24"/>
                <w:szCs w:val="24"/>
                <w:lang w:val="ro-RO"/>
              </w:rPr>
              <w:lastRenderedPageBreak/>
              <w:t>Surgery, Second Discipline of Surgical Semiology, “Victor Babes” University of Medicine</w:t>
            </w:r>
          </w:p>
          <w:p w14:paraId="09CF2EDF" w14:textId="07EA9E3F" w:rsidR="006B22D4" w:rsidRPr="00D96F49" w:rsidRDefault="006B22D4" w:rsidP="006B22D4">
            <w:pPr>
              <w:spacing w:after="0" w:line="240" w:lineRule="auto"/>
              <w:jc w:val="both"/>
              <w:rPr>
                <w:rFonts w:ascii="Arial Narrow" w:hAnsi="Arial Narrow" w:cs="Arial"/>
                <w:b/>
                <w:color w:val="181818"/>
                <w:sz w:val="24"/>
                <w:szCs w:val="24"/>
                <w:lang w:val="ro-RO"/>
              </w:rPr>
            </w:pPr>
            <w:r w:rsidRPr="00342106">
              <w:rPr>
                <w:rFonts w:ascii="Arial Narrow" w:hAnsi="Arial Narrow" w:cs="Arial"/>
                <w:b/>
                <w:color w:val="181818"/>
                <w:sz w:val="24"/>
                <w:szCs w:val="24"/>
                <w:lang w:val="ro-RO"/>
              </w:rPr>
              <w:t>and Pharmacy, Timisoara, Timisoara, Romania</w:t>
            </w: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52AE9456" w:rsidR="00FB62A2" w:rsidRPr="00F341F9" w:rsidRDefault="006B22D4"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ISTODOR ALIN-VIOREL</w:t>
            </w:r>
            <w:r w:rsidR="00FB62A2" w:rsidRPr="00F341F9">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7EE43F81" w14:textId="10D6521D" w:rsidR="005A6D24" w:rsidRPr="00D96F49" w:rsidRDefault="00793CBC" w:rsidP="005A6D24">
      <w:pPr>
        <w:spacing w:after="0"/>
        <w:rPr>
          <w:rFonts w:ascii="Arial Narrow" w:hAnsi="Arial Narrow" w:cs="Arial"/>
          <w:color w:val="181818"/>
          <w:sz w:val="24"/>
          <w:szCs w:val="24"/>
          <w:lang w:val="ro-RO"/>
        </w:rPr>
      </w:pPr>
      <w:r>
        <w:rPr>
          <w:rFonts w:ascii="Times New Roman" w:hAnsi="Times New Roman"/>
          <w:b/>
          <w:color w:val="181818"/>
          <w:sz w:val="28"/>
          <w:szCs w:val="24"/>
          <w:lang w:val="ro-RO"/>
        </w:rPr>
        <w:tab/>
      </w:r>
      <w:r w:rsidR="005A6D24"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8934"/>
      </w:tblGrid>
      <w:tr w:rsidR="00A42E0C" w:rsidRPr="00E43827" w14:paraId="6B1A08DF" w14:textId="77777777" w:rsidTr="002D79CF">
        <w:tc>
          <w:tcPr>
            <w:tcW w:w="921"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4"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43827" w14:paraId="34E3CC11" w14:textId="77777777" w:rsidTr="002D79CF">
        <w:tc>
          <w:tcPr>
            <w:tcW w:w="921"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8934" w:type="dxa"/>
          </w:tcPr>
          <w:p w14:paraId="241E2E52" w14:textId="0F3EA2F1" w:rsidR="00A42E0C" w:rsidRPr="00A42E0C" w:rsidRDefault="002D79CF" w:rsidP="00A42E0C">
            <w:pPr>
              <w:spacing w:after="0" w:line="240" w:lineRule="auto"/>
              <w:jc w:val="both"/>
              <w:rPr>
                <w:rFonts w:ascii="Arial" w:hAnsi="Arial" w:cs="Arial"/>
                <w:b/>
                <w:color w:val="0000FF"/>
                <w:sz w:val="24"/>
                <w:szCs w:val="24"/>
                <w:lang w:val="ro-RO"/>
              </w:rPr>
            </w:pPr>
            <w:r w:rsidRPr="004B0E8F">
              <w:rPr>
                <w:rFonts w:ascii="Arial Narrow" w:hAnsi="Arial Narrow"/>
                <w:b/>
                <w:bCs/>
                <w:color w:val="181818"/>
                <w:sz w:val="24"/>
                <w:szCs w:val="24"/>
                <w:lang w:val="ro-RO"/>
              </w:rPr>
              <w:t>Istodor AV</w:t>
            </w:r>
            <w:r>
              <w:rPr>
                <w:rFonts w:ascii="Arial Narrow" w:hAnsi="Arial Narrow"/>
                <w:color w:val="181818"/>
                <w:sz w:val="24"/>
                <w:szCs w:val="24"/>
                <w:lang w:val="ro-RO"/>
              </w:rPr>
              <w:t xml:space="preserve">, Rusu LC, Noja GG, Roi A, Roi C, Bratu E, Moise G, Puiu M, Farcas SS, Andreescu NI. </w:t>
            </w:r>
            <w:r w:rsidRPr="007C0B72">
              <w:rPr>
                <w:rFonts w:ascii="Arial Narrow" w:hAnsi="Arial Narrow"/>
                <w:i/>
                <w:iCs/>
                <w:color w:val="181818"/>
                <w:sz w:val="24"/>
                <w:szCs w:val="24"/>
                <w:lang w:val="ro-RO"/>
              </w:rPr>
              <w:t>An Observational Study on Cephalometric Characteristics and Patterns Associated with the Prader–Willi Syndrome: A Structural Equation Modelling and Network Approach</w:t>
            </w:r>
            <w:r>
              <w:rPr>
                <w:rFonts w:ascii="Arial Narrow" w:hAnsi="Arial Narrow"/>
                <w:color w:val="181818"/>
                <w:sz w:val="24"/>
                <w:szCs w:val="24"/>
                <w:lang w:val="ro-RO"/>
              </w:rPr>
              <w:t xml:space="preserve">. ApplSci. 2021 Aprilie; (11):3177. Doi: </w:t>
            </w:r>
            <w:r w:rsidRPr="004B0E8F">
              <w:rPr>
                <w:rFonts w:ascii="Arial Narrow" w:hAnsi="Arial Narrow"/>
                <w:color w:val="181818"/>
                <w:sz w:val="24"/>
                <w:szCs w:val="24"/>
                <w:lang w:val="ro-RO"/>
              </w:rPr>
              <w:t>10.3390/app11073177</w:t>
            </w:r>
          </w:p>
        </w:tc>
      </w:tr>
      <w:tr w:rsidR="002D79CF" w:rsidRPr="00E43827" w14:paraId="77648F0A" w14:textId="77777777" w:rsidTr="002D79CF">
        <w:tc>
          <w:tcPr>
            <w:tcW w:w="921" w:type="dxa"/>
          </w:tcPr>
          <w:p w14:paraId="22187E92" w14:textId="77777777" w:rsidR="002D79CF" w:rsidRPr="00A42E0C" w:rsidRDefault="002D79CF" w:rsidP="002D79CF">
            <w:pPr>
              <w:numPr>
                <w:ilvl w:val="0"/>
                <w:numId w:val="31"/>
              </w:numPr>
              <w:spacing w:after="0" w:line="240" w:lineRule="auto"/>
              <w:jc w:val="both"/>
              <w:rPr>
                <w:rFonts w:ascii="Arial" w:hAnsi="Arial" w:cs="Arial"/>
                <w:b/>
                <w:color w:val="0000FF"/>
                <w:sz w:val="24"/>
                <w:szCs w:val="24"/>
                <w:lang w:val="ro-RO"/>
              </w:rPr>
            </w:pPr>
          </w:p>
        </w:tc>
        <w:tc>
          <w:tcPr>
            <w:tcW w:w="8934" w:type="dxa"/>
          </w:tcPr>
          <w:p w14:paraId="20BC6B14" w14:textId="217774B3" w:rsidR="002D79CF" w:rsidRPr="00A42E0C" w:rsidRDefault="002D79CF" w:rsidP="002D79CF">
            <w:pPr>
              <w:tabs>
                <w:tab w:val="left" w:pos="2863"/>
              </w:tabs>
              <w:spacing w:after="0" w:line="240" w:lineRule="auto"/>
              <w:jc w:val="both"/>
              <w:rPr>
                <w:rFonts w:ascii="Arial" w:hAnsi="Arial" w:cs="Arial"/>
                <w:b/>
                <w:color w:val="0000FF"/>
                <w:sz w:val="24"/>
                <w:szCs w:val="24"/>
                <w:lang w:val="ro-RO"/>
              </w:rPr>
            </w:pPr>
            <w:r w:rsidRPr="004B0E8F">
              <w:rPr>
                <w:rFonts w:ascii="Arial Narrow" w:hAnsi="Arial Narrow"/>
                <w:color w:val="181818"/>
                <w:sz w:val="24"/>
                <w:szCs w:val="24"/>
                <w:lang w:val="ro-RO"/>
              </w:rPr>
              <w:t xml:space="preserve">Cristea M, Noja GG, Jurcuţ CN, Ponea CŞ, Caragiani ES, </w:t>
            </w:r>
            <w:r w:rsidRPr="004B0E8F">
              <w:rPr>
                <w:rFonts w:ascii="Arial Narrow" w:hAnsi="Arial Narrow"/>
                <w:b/>
                <w:bCs/>
                <w:color w:val="181818"/>
                <w:sz w:val="24"/>
                <w:szCs w:val="24"/>
                <w:lang w:val="ro-RO"/>
              </w:rPr>
              <w:t>Istodor AV</w:t>
            </w:r>
            <w:r w:rsidRPr="004B0E8F">
              <w:rPr>
                <w:rFonts w:ascii="Arial Narrow" w:hAnsi="Arial Narrow"/>
                <w:color w:val="181818"/>
                <w:sz w:val="24"/>
                <w:szCs w:val="24"/>
                <w:lang w:val="ro-RO"/>
              </w:rPr>
              <w:t>.</w:t>
            </w:r>
            <w:r>
              <w:t xml:space="preserve"> </w:t>
            </w:r>
            <w:r w:rsidRPr="004B0E8F">
              <w:rPr>
                <w:rFonts w:ascii="Arial Narrow" w:hAnsi="Arial Narrow"/>
                <w:i/>
                <w:iCs/>
                <w:color w:val="181818"/>
                <w:sz w:val="24"/>
                <w:szCs w:val="24"/>
                <w:lang w:val="ro-RO"/>
              </w:rPr>
              <w:t>The Interplay between Public Health, Well-Being and Population Aging in Europe: An Advanced Structural Equation Modelling and Gaussian Network Approach</w:t>
            </w:r>
            <w:r w:rsidRPr="004B0E8F">
              <w:rPr>
                <w:rFonts w:ascii="Arial Narrow" w:hAnsi="Arial Narrow"/>
                <w:color w:val="181818"/>
                <w:sz w:val="24"/>
                <w:szCs w:val="24"/>
                <w:lang w:val="ro-RO"/>
              </w:rPr>
              <w:t>.</w:t>
            </w:r>
            <w:r>
              <w:t xml:space="preserve"> </w:t>
            </w:r>
            <w:r w:rsidRPr="004B0E8F">
              <w:rPr>
                <w:rFonts w:ascii="Arial Narrow" w:hAnsi="Arial Narrow"/>
                <w:color w:val="181818"/>
                <w:sz w:val="24"/>
                <w:szCs w:val="24"/>
                <w:lang w:val="ro-RO"/>
              </w:rPr>
              <w:t>Int J Environ Res Public Health. 2021 Feb</w:t>
            </w:r>
            <w:r>
              <w:rPr>
                <w:rFonts w:ascii="Arial Narrow" w:hAnsi="Arial Narrow"/>
                <w:color w:val="181818"/>
                <w:sz w:val="24"/>
                <w:szCs w:val="24"/>
                <w:lang w:val="ro-RO"/>
              </w:rPr>
              <w:t>ruarie</w:t>
            </w:r>
            <w:r w:rsidRPr="004B0E8F">
              <w:rPr>
                <w:rFonts w:ascii="Arial Narrow" w:hAnsi="Arial Narrow"/>
                <w:color w:val="181818"/>
                <w:sz w:val="24"/>
                <w:szCs w:val="24"/>
                <w:lang w:val="ro-RO"/>
              </w:rPr>
              <w:t>;18(4):2015. doi: 10.3390/ijerph18042015.</w:t>
            </w:r>
          </w:p>
        </w:tc>
      </w:tr>
      <w:tr w:rsidR="002D79CF" w:rsidRPr="00E43827" w14:paraId="4DE4FCC1" w14:textId="77777777" w:rsidTr="002D79CF">
        <w:tc>
          <w:tcPr>
            <w:tcW w:w="921" w:type="dxa"/>
            <w:tcBorders>
              <w:bottom w:val="single" w:sz="4" w:space="0" w:color="auto"/>
            </w:tcBorders>
          </w:tcPr>
          <w:p w14:paraId="67D07C59" w14:textId="77777777" w:rsidR="002D79CF" w:rsidRPr="00A42E0C" w:rsidRDefault="002D79CF" w:rsidP="002D79CF">
            <w:pPr>
              <w:numPr>
                <w:ilvl w:val="0"/>
                <w:numId w:val="31"/>
              </w:numPr>
              <w:spacing w:after="0" w:line="240" w:lineRule="auto"/>
              <w:jc w:val="both"/>
              <w:rPr>
                <w:rFonts w:ascii="Arial" w:hAnsi="Arial" w:cs="Arial"/>
                <w:b/>
                <w:color w:val="0000FF"/>
                <w:sz w:val="24"/>
                <w:szCs w:val="24"/>
                <w:lang w:val="ro-RO"/>
              </w:rPr>
            </w:pPr>
          </w:p>
        </w:tc>
        <w:tc>
          <w:tcPr>
            <w:tcW w:w="8934" w:type="dxa"/>
            <w:tcBorders>
              <w:bottom w:val="single" w:sz="4" w:space="0" w:color="auto"/>
            </w:tcBorders>
          </w:tcPr>
          <w:p w14:paraId="443F5D24" w14:textId="7EC4AF25" w:rsidR="002D79CF" w:rsidRPr="00A42E0C" w:rsidRDefault="002D79CF" w:rsidP="002D79CF">
            <w:pPr>
              <w:spacing w:after="0" w:line="240" w:lineRule="auto"/>
              <w:jc w:val="both"/>
              <w:rPr>
                <w:rFonts w:ascii="Arial" w:hAnsi="Arial" w:cs="Arial"/>
                <w:b/>
                <w:color w:val="0000FF"/>
                <w:sz w:val="24"/>
                <w:szCs w:val="24"/>
                <w:lang w:val="ro-RO"/>
              </w:rPr>
            </w:pPr>
            <w:r w:rsidRPr="004B0E8F">
              <w:rPr>
                <w:rFonts w:ascii="Arial Narrow" w:hAnsi="Arial Narrow"/>
                <w:color w:val="181818"/>
                <w:sz w:val="24"/>
                <w:szCs w:val="24"/>
                <w:lang w:val="ro-RO"/>
              </w:rPr>
              <w:t xml:space="preserve">Mocanu A, Noja GG, </w:t>
            </w:r>
            <w:r w:rsidRPr="004B0E8F">
              <w:rPr>
                <w:rFonts w:ascii="Arial Narrow" w:hAnsi="Arial Narrow"/>
                <w:b/>
                <w:bCs/>
                <w:color w:val="181818"/>
                <w:sz w:val="24"/>
                <w:szCs w:val="24"/>
                <w:lang w:val="ro-RO"/>
              </w:rPr>
              <w:t>Istodor AV</w:t>
            </w:r>
            <w:r w:rsidRPr="004B0E8F">
              <w:rPr>
                <w:rFonts w:ascii="Arial Narrow" w:hAnsi="Arial Narrow"/>
                <w:color w:val="181818"/>
                <w:sz w:val="24"/>
                <w:szCs w:val="24"/>
                <w:lang w:val="ro-RO"/>
              </w:rPr>
              <w:t>, Moise G, Leretter M, Rusu LC, Marza AM, Mederle AO</w:t>
            </w:r>
            <w:r>
              <w:rPr>
                <w:rFonts w:ascii="Arial Narrow" w:hAnsi="Arial Narrow"/>
                <w:color w:val="181818"/>
                <w:sz w:val="24"/>
                <w:szCs w:val="24"/>
                <w:lang w:val="ro-RO"/>
              </w:rPr>
              <w:t>.</w:t>
            </w:r>
            <w:r>
              <w:t xml:space="preserve"> </w:t>
            </w:r>
            <w:r w:rsidRPr="004B0E8F">
              <w:rPr>
                <w:rFonts w:ascii="Arial Narrow" w:hAnsi="Arial Narrow"/>
                <w:i/>
                <w:iCs/>
                <w:color w:val="181818"/>
                <w:sz w:val="24"/>
                <w:szCs w:val="24"/>
                <w:lang w:val="ro-RO"/>
              </w:rPr>
              <w:t>Individual Characteristics as Prognostic Factors of the Evolution of Hospitalized COVID-19 Romanian Patients: A Comparative Observational Study between the First and Second Waves Based on Gaussian Graphical Models and Structural Equation Modeling</w:t>
            </w:r>
            <w:r w:rsidRPr="004B0E8F">
              <w:rPr>
                <w:rFonts w:ascii="Arial Narrow" w:hAnsi="Arial Narrow"/>
                <w:color w:val="181818"/>
                <w:sz w:val="24"/>
                <w:szCs w:val="24"/>
                <w:lang w:val="ro-RO"/>
              </w:rPr>
              <w:t>.</w:t>
            </w:r>
            <w:r>
              <w:t xml:space="preserve"> </w:t>
            </w:r>
            <w:r w:rsidRPr="004B0E8F">
              <w:rPr>
                <w:rFonts w:ascii="Arial Narrow" w:hAnsi="Arial Narrow"/>
                <w:color w:val="181818"/>
                <w:sz w:val="24"/>
                <w:szCs w:val="24"/>
                <w:lang w:val="ro-RO"/>
              </w:rPr>
              <w:t>J Clin Med. 2021 May 2;10(9):1958. doi: 10.3390/jcm10091958.</w:t>
            </w:r>
          </w:p>
        </w:tc>
      </w:tr>
      <w:tr w:rsidR="002D79CF" w:rsidRPr="00A42E0C" w14:paraId="691C4CFA" w14:textId="77777777" w:rsidTr="002D79CF">
        <w:tc>
          <w:tcPr>
            <w:tcW w:w="921" w:type="dxa"/>
            <w:tcBorders>
              <w:top w:val="single" w:sz="4" w:space="0" w:color="auto"/>
              <w:left w:val="single" w:sz="4" w:space="0" w:color="auto"/>
              <w:bottom w:val="single" w:sz="4" w:space="0" w:color="auto"/>
              <w:right w:val="single" w:sz="4" w:space="0" w:color="auto"/>
            </w:tcBorders>
            <w:shd w:val="clear" w:color="auto" w:fill="FFFFFF"/>
          </w:tcPr>
          <w:p w14:paraId="64C14750" w14:textId="5BF329C0" w:rsidR="002D79CF" w:rsidRPr="0062094E" w:rsidRDefault="002D79CF" w:rsidP="002D79CF">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8934" w:type="dxa"/>
            <w:tcBorders>
              <w:top w:val="single" w:sz="4" w:space="0" w:color="auto"/>
              <w:left w:val="single" w:sz="4" w:space="0" w:color="auto"/>
              <w:bottom w:val="single" w:sz="4" w:space="0" w:color="auto"/>
              <w:right w:val="single" w:sz="4" w:space="0" w:color="auto"/>
            </w:tcBorders>
            <w:shd w:val="clear" w:color="auto" w:fill="FFFFFF"/>
          </w:tcPr>
          <w:p w14:paraId="65D9A1AD" w14:textId="01D1B479" w:rsidR="002D79CF" w:rsidRPr="00A42E0C" w:rsidRDefault="002D79CF" w:rsidP="002D79CF">
            <w:pPr>
              <w:spacing w:after="0" w:line="240" w:lineRule="auto"/>
              <w:jc w:val="both"/>
              <w:rPr>
                <w:rFonts w:ascii="Arial" w:hAnsi="Arial" w:cs="Arial"/>
                <w:b/>
                <w:color w:val="0000FF"/>
                <w:sz w:val="24"/>
                <w:szCs w:val="24"/>
                <w:lang w:val="ro-RO"/>
              </w:rPr>
            </w:pPr>
            <w:r w:rsidRPr="004B0E8F">
              <w:rPr>
                <w:rFonts w:ascii="Arial Narrow" w:hAnsi="Arial Narrow"/>
                <w:b/>
                <w:bCs/>
                <w:color w:val="181818"/>
                <w:sz w:val="24"/>
                <w:szCs w:val="24"/>
                <w:lang w:val="ro-RO"/>
              </w:rPr>
              <w:t>Istodor A</w:t>
            </w:r>
            <w:r>
              <w:rPr>
                <w:rFonts w:ascii="Arial Narrow" w:hAnsi="Arial Narrow"/>
                <w:color w:val="181818"/>
                <w:sz w:val="24"/>
                <w:szCs w:val="24"/>
                <w:lang w:val="ro-RO"/>
              </w:rPr>
              <w:t xml:space="preserve">, Ilina R. Preda M, Ardelean O, Mazilu O. </w:t>
            </w:r>
            <w:r w:rsidRPr="0073176D">
              <w:rPr>
                <w:rFonts w:ascii="Arial Narrow" w:hAnsi="Arial Narrow"/>
                <w:i/>
                <w:iCs/>
                <w:color w:val="181818"/>
                <w:sz w:val="24"/>
                <w:szCs w:val="24"/>
                <w:lang w:val="ro-RO"/>
              </w:rPr>
              <w:t>Central Necessity Hepatectomy for Spontaneous Rupture of Hepatocellular Carcinoma at a Patient with Portal Bifurcation Thrombosis</w:t>
            </w:r>
            <w:r>
              <w:rPr>
                <w:rFonts w:ascii="Arial Narrow" w:hAnsi="Arial Narrow"/>
                <w:color w:val="181818"/>
                <w:sz w:val="24"/>
                <w:szCs w:val="24"/>
                <w:lang w:val="ro-RO"/>
              </w:rPr>
              <w:t>. Journal of Surgical Sciences. 2019 Decembrie. 6(4): 112-115.</w:t>
            </w:r>
          </w:p>
        </w:tc>
      </w:tr>
      <w:tr w:rsidR="002D79CF" w:rsidRPr="00A42E0C" w14:paraId="10FA7DF4" w14:textId="77777777" w:rsidTr="002D79CF">
        <w:tc>
          <w:tcPr>
            <w:tcW w:w="921" w:type="dxa"/>
            <w:tcBorders>
              <w:top w:val="single" w:sz="4" w:space="0" w:color="auto"/>
              <w:left w:val="single" w:sz="4" w:space="0" w:color="auto"/>
              <w:bottom w:val="single" w:sz="4" w:space="0" w:color="auto"/>
              <w:right w:val="single" w:sz="4" w:space="0" w:color="auto"/>
            </w:tcBorders>
            <w:shd w:val="clear" w:color="auto" w:fill="FFFFFF"/>
          </w:tcPr>
          <w:p w14:paraId="6B44C416" w14:textId="5462AE48" w:rsidR="002D79CF" w:rsidRDefault="002D79CF" w:rsidP="002D79CF">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8934" w:type="dxa"/>
            <w:tcBorders>
              <w:top w:val="single" w:sz="4" w:space="0" w:color="auto"/>
              <w:left w:val="single" w:sz="4" w:space="0" w:color="auto"/>
              <w:bottom w:val="single" w:sz="4" w:space="0" w:color="auto"/>
              <w:right w:val="single" w:sz="4" w:space="0" w:color="auto"/>
            </w:tcBorders>
            <w:shd w:val="clear" w:color="auto" w:fill="FFFFFF"/>
          </w:tcPr>
          <w:p w14:paraId="48236585" w14:textId="650546D8" w:rsidR="002D79CF" w:rsidRPr="00A42E0C" w:rsidRDefault="002D79CF" w:rsidP="002D79CF">
            <w:pPr>
              <w:spacing w:after="0" w:line="240" w:lineRule="auto"/>
              <w:jc w:val="both"/>
              <w:rPr>
                <w:rFonts w:ascii="Arial" w:hAnsi="Arial" w:cs="Arial"/>
                <w:b/>
                <w:color w:val="0000FF"/>
                <w:sz w:val="24"/>
                <w:szCs w:val="24"/>
                <w:lang w:val="ro-RO"/>
              </w:rPr>
            </w:pPr>
            <w:r w:rsidRPr="004B0E8F">
              <w:rPr>
                <w:rFonts w:ascii="Arial Narrow" w:hAnsi="Arial Narrow"/>
                <w:b/>
                <w:bCs/>
                <w:color w:val="181818"/>
                <w:sz w:val="24"/>
                <w:szCs w:val="24"/>
                <w:lang w:val="ro-RO"/>
              </w:rPr>
              <w:t>Istodor A</w:t>
            </w:r>
            <w:r>
              <w:rPr>
                <w:rFonts w:ascii="Arial Narrow" w:hAnsi="Arial Narrow"/>
                <w:color w:val="181818"/>
                <w:sz w:val="24"/>
                <w:szCs w:val="24"/>
                <w:lang w:val="ro-RO"/>
              </w:rPr>
              <w:t xml:space="preserve">, Ardelean O, Radulescu C, Mazilu O. </w:t>
            </w:r>
            <w:r w:rsidRPr="000F296E">
              <w:rPr>
                <w:rFonts w:ascii="Arial Narrow" w:hAnsi="Arial Narrow"/>
                <w:i/>
                <w:iCs/>
                <w:color w:val="181818"/>
                <w:sz w:val="24"/>
                <w:szCs w:val="24"/>
                <w:lang w:val="ro-RO"/>
              </w:rPr>
              <w:t xml:space="preserve">Recurrence </w:t>
            </w:r>
            <w:r>
              <w:rPr>
                <w:rFonts w:ascii="Arial Narrow" w:hAnsi="Arial Narrow"/>
                <w:i/>
                <w:iCs/>
                <w:color w:val="181818"/>
                <w:sz w:val="24"/>
                <w:szCs w:val="24"/>
                <w:lang w:val="ro-RO"/>
              </w:rPr>
              <w:t>o</w:t>
            </w:r>
            <w:r w:rsidRPr="000F296E">
              <w:rPr>
                <w:rFonts w:ascii="Arial Narrow" w:hAnsi="Arial Narrow"/>
                <w:i/>
                <w:iCs/>
                <w:color w:val="181818"/>
                <w:sz w:val="24"/>
                <w:szCs w:val="24"/>
                <w:lang w:val="ro-RO"/>
              </w:rPr>
              <w:t>f Malignant Peripheral Nerve Sheath Tumor</w:t>
            </w:r>
            <w:r>
              <w:rPr>
                <w:rFonts w:ascii="Arial Narrow" w:hAnsi="Arial Narrow"/>
                <w:color w:val="181818"/>
                <w:sz w:val="24"/>
                <w:szCs w:val="24"/>
                <w:lang w:val="ro-RO"/>
              </w:rPr>
              <w:t>. Journal of Surgical Sciences. 2020 Decembrie. 7(4): 145-148.</w:t>
            </w: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AE6B9" w14:textId="77777777" w:rsidR="006D0122" w:rsidRDefault="006D0122">
      <w:r>
        <w:separator/>
      </w:r>
    </w:p>
  </w:endnote>
  <w:endnote w:type="continuationSeparator" w:id="0">
    <w:p w14:paraId="4A9EC047" w14:textId="77777777" w:rsidR="006D0122" w:rsidRDefault="006D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43827">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164B" w14:textId="77777777" w:rsidR="006D0122" w:rsidRDefault="006D0122">
      <w:r>
        <w:separator/>
      </w:r>
    </w:p>
  </w:footnote>
  <w:footnote w:type="continuationSeparator" w:id="0">
    <w:p w14:paraId="5CB60523" w14:textId="77777777" w:rsidR="006D0122" w:rsidRDefault="006D0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57C7E"/>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D79CF"/>
    <w:rsid w:val="002F4B03"/>
    <w:rsid w:val="00307E76"/>
    <w:rsid w:val="003359CC"/>
    <w:rsid w:val="0034210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6B22D4"/>
    <w:rsid w:val="006D0122"/>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43827"/>
    <w:rsid w:val="00E5408A"/>
    <w:rsid w:val="00E73952"/>
    <w:rsid w:val="00E74CD2"/>
    <w:rsid w:val="00EB3C05"/>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1443</Words>
  <Characters>8230</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Ana</cp:lastModifiedBy>
  <cp:revision>8</cp:revision>
  <cp:lastPrinted>2013-01-16T10:35:00Z</cp:lastPrinted>
  <dcterms:created xsi:type="dcterms:W3CDTF">2020-10-14T11:25:00Z</dcterms:created>
  <dcterms:modified xsi:type="dcterms:W3CDTF">2021-06-21T19:54:00Z</dcterms:modified>
</cp:coreProperties>
</file>