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33B" w:rsidRDefault="007250F6">
      <w:pPr>
        <w:tabs>
          <w:tab w:val="center" w:pos="1520"/>
          <w:tab w:val="center" w:pos="2833"/>
        </w:tabs>
        <w:ind w:left="0" w:firstLine="0"/>
        <w:jc w:val="left"/>
      </w:pPr>
      <w:r>
        <w:rPr>
          <w:rFonts w:ascii="Calibri" w:eastAsia="Calibri" w:hAnsi="Calibri" w:cs="Calibri"/>
          <w:sz w:val="22"/>
        </w:rPr>
        <w:tab/>
      </w:r>
      <w:r>
        <w:t xml:space="preserve">INFORMAŢII PERSONALE </w:t>
      </w:r>
      <w:r>
        <w:tab/>
      </w:r>
      <w:r>
        <w:rPr>
          <w:sz w:val="26"/>
        </w:rPr>
        <w:t xml:space="preserve"> </w:t>
      </w:r>
    </w:p>
    <w:p w:rsidR="0035633B" w:rsidRDefault="007250F6">
      <w:pPr>
        <w:spacing w:after="48" w:line="259" w:lineRule="auto"/>
        <w:ind w:left="0" w:right="291" w:firstLine="0"/>
        <w:jc w:val="center"/>
      </w:pPr>
      <w:r>
        <w:rPr>
          <w:sz w:val="16"/>
        </w:rPr>
        <w:t xml:space="preserve"> </w:t>
      </w:r>
    </w:p>
    <w:p w:rsidR="0035633B" w:rsidRDefault="007250F6">
      <w:pPr>
        <w:tabs>
          <w:tab w:val="center" w:pos="2550"/>
          <w:tab w:val="center" w:pos="4160"/>
        </w:tabs>
        <w:spacing w:after="98"/>
        <w:ind w:left="0" w:firstLine="0"/>
        <w:jc w:val="left"/>
      </w:pPr>
      <w:r>
        <w:rPr>
          <w:rFonts w:ascii="Calibri" w:eastAsia="Calibri" w:hAnsi="Calibri" w:cs="Calibri"/>
          <w:sz w:val="22"/>
        </w:rPr>
        <w:tab/>
      </w:r>
      <w:r>
        <w:t xml:space="preserve"> </w:t>
      </w:r>
      <w:r>
        <w:tab/>
      </w:r>
      <w:r>
        <w:rPr>
          <w:noProof/>
        </w:rPr>
        <w:drawing>
          <wp:inline distT="0" distB="0" distL="0" distR="0">
            <wp:extent cx="123190" cy="142875"/>
            <wp:effectExtent l="0" t="0" r="0" b="0"/>
            <wp:docPr id="258" name="Picture 258"/>
            <wp:cNvGraphicFramePr/>
            <a:graphic xmlns:a="http://schemas.openxmlformats.org/drawingml/2006/main">
              <a:graphicData uri="http://schemas.openxmlformats.org/drawingml/2006/picture">
                <pic:pic xmlns:pic="http://schemas.openxmlformats.org/drawingml/2006/picture">
                  <pic:nvPicPr>
                    <pic:cNvPr id="258" name="Picture 258"/>
                    <pic:cNvPicPr/>
                  </pic:nvPicPr>
                  <pic:blipFill>
                    <a:blip r:embed="rId7"/>
                    <a:stretch>
                      <a:fillRect/>
                    </a:stretch>
                  </pic:blipFill>
                  <pic:spPr>
                    <a:xfrm>
                      <a:off x="0" y="0"/>
                      <a:ext cx="123190" cy="142875"/>
                    </a:xfrm>
                    <a:prstGeom prst="rect">
                      <a:avLst/>
                    </a:prstGeom>
                  </pic:spPr>
                </pic:pic>
              </a:graphicData>
            </a:graphic>
          </wp:inline>
        </w:drawing>
      </w:r>
      <w:r>
        <w:t xml:space="preserve"> VLAD CRISTIAN SEBASTIAN</w:t>
      </w:r>
      <w:r>
        <w:rPr>
          <w:color w:val="3F3A38"/>
        </w:rPr>
        <w:t xml:space="preserve"> </w:t>
      </w:r>
    </w:p>
    <w:p w:rsidR="0035633B" w:rsidRDefault="0035633B">
      <w:pPr>
        <w:spacing w:after="0" w:line="259" w:lineRule="auto"/>
        <w:ind w:left="0" w:firstLine="0"/>
        <w:jc w:val="left"/>
      </w:pPr>
      <w:bookmarkStart w:id="0" w:name="_GoBack"/>
      <w:bookmarkEnd w:id="0"/>
    </w:p>
    <w:p w:rsidR="0035633B" w:rsidRDefault="007250F6">
      <w:pPr>
        <w:spacing w:after="0" w:line="259" w:lineRule="auto"/>
        <w:ind w:left="2555" w:firstLine="0"/>
        <w:jc w:val="left"/>
      </w:pPr>
      <w:r>
        <w:t xml:space="preserve"> </w:t>
      </w:r>
    </w:p>
    <w:p w:rsidR="0035633B" w:rsidRDefault="007250F6">
      <w:pPr>
        <w:spacing w:after="0" w:line="259" w:lineRule="auto"/>
        <w:ind w:left="2555" w:firstLine="0"/>
        <w:jc w:val="left"/>
      </w:pPr>
      <w:r>
        <w:t xml:space="preserve"> </w:t>
      </w:r>
    </w:p>
    <w:p w:rsidR="0035633B" w:rsidRDefault="007250F6">
      <w:pPr>
        <w:spacing w:after="21" w:line="259" w:lineRule="auto"/>
        <w:ind w:left="2555" w:firstLine="0"/>
        <w:jc w:val="left"/>
      </w:pPr>
      <w:r>
        <w:t xml:space="preserve"> </w:t>
      </w:r>
    </w:p>
    <w:p w:rsidR="0035633B" w:rsidRPr="008761E3" w:rsidRDefault="007250F6">
      <w:pPr>
        <w:tabs>
          <w:tab w:val="center" w:pos="6625"/>
        </w:tabs>
        <w:ind w:left="0" w:firstLine="0"/>
        <w:jc w:val="left"/>
        <w:rPr>
          <w:lang w:val="fr-FR"/>
        </w:rPr>
      </w:pPr>
      <w:r w:rsidRPr="008761E3">
        <w:rPr>
          <w:lang w:val="fr-FR"/>
        </w:rPr>
        <w:t>EXPERIENŢA PROFESIONALĂ</w:t>
      </w:r>
      <w:r w:rsidRPr="008761E3">
        <w:rPr>
          <w:color w:val="0E4194"/>
          <w:lang w:val="fr-FR"/>
        </w:rPr>
        <w:t xml:space="preserve"> </w:t>
      </w:r>
      <w:r w:rsidRPr="008761E3">
        <w:rPr>
          <w:color w:val="0E4194"/>
          <w:lang w:val="fr-FR"/>
        </w:rPr>
        <w:tab/>
      </w:r>
      <w:r>
        <w:rPr>
          <w:noProof/>
        </w:rPr>
        <w:drawing>
          <wp:inline distT="0" distB="0" distL="0" distR="0">
            <wp:extent cx="4782185" cy="88900"/>
            <wp:effectExtent l="0" t="0" r="0" b="0"/>
            <wp:docPr id="71" name="Picture 71"/>
            <wp:cNvGraphicFramePr/>
            <a:graphic xmlns:a="http://schemas.openxmlformats.org/drawingml/2006/main">
              <a:graphicData uri="http://schemas.openxmlformats.org/drawingml/2006/picture">
                <pic:pic xmlns:pic="http://schemas.openxmlformats.org/drawingml/2006/picture">
                  <pic:nvPicPr>
                    <pic:cNvPr id="71" name="Picture 71"/>
                    <pic:cNvPicPr/>
                  </pic:nvPicPr>
                  <pic:blipFill>
                    <a:blip r:embed="rId8"/>
                    <a:stretch>
                      <a:fillRect/>
                    </a:stretch>
                  </pic:blipFill>
                  <pic:spPr>
                    <a:xfrm>
                      <a:off x="0" y="0"/>
                      <a:ext cx="4782185" cy="88900"/>
                    </a:xfrm>
                    <a:prstGeom prst="rect">
                      <a:avLst/>
                    </a:prstGeom>
                  </pic:spPr>
                </pic:pic>
              </a:graphicData>
            </a:graphic>
          </wp:inline>
        </w:drawing>
      </w:r>
      <w:r w:rsidRPr="008761E3">
        <w:rPr>
          <w:sz w:val="8"/>
          <w:lang w:val="fr-FR"/>
        </w:rPr>
        <w:t xml:space="preserve"> </w:t>
      </w:r>
    </w:p>
    <w:p w:rsidR="0035633B" w:rsidRPr="008761E3" w:rsidRDefault="007250F6">
      <w:pPr>
        <w:spacing w:after="77" w:line="247" w:lineRule="auto"/>
        <w:ind w:left="0" w:right="5472" w:firstLine="0"/>
        <w:jc w:val="left"/>
        <w:rPr>
          <w:lang w:val="fr-FR"/>
        </w:rPr>
      </w:pPr>
      <w:r w:rsidRPr="008761E3">
        <w:rPr>
          <w:sz w:val="16"/>
          <w:lang w:val="fr-FR"/>
        </w:rPr>
        <w:t xml:space="preserve">  </w:t>
      </w:r>
    </w:p>
    <w:p w:rsidR="0035633B" w:rsidRPr="008761E3" w:rsidRDefault="007250F6">
      <w:pPr>
        <w:tabs>
          <w:tab w:val="center" w:pos="2016"/>
          <w:tab w:val="center" w:pos="3773"/>
        </w:tabs>
        <w:ind w:left="0" w:firstLine="0"/>
        <w:jc w:val="left"/>
        <w:rPr>
          <w:lang w:val="fr-FR"/>
        </w:rPr>
      </w:pPr>
      <w:r w:rsidRPr="008761E3">
        <w:rPr>
          <w:rFonts w:ascii="Calibri" w:eastAsia="Calibri" w:hAnsi="Calibri" w:cs="Calibri"/>
          <w:sz w:val="22"/>
          <w:lang w:val="fr-FR"/>
        </w:rPr>
        <w:tab/>
      </w:r>
      <w:r w:rsidRPr="008761E3">
        <w:rPr>
          <w:lang w:val="fr-FR"/>
        </w:rPr>
        <w:t xml:space="preserve">2016 - prezent </w:t>
      </w:r>
      <w:r w:rsidRPr="008761E3">
        <w:rPr>
          <w:lang w:val="fr-FR"/>
        </w:rPr>
        <w:tab/>
        <w:t>Ș</w:t>
      </w:r>
      <w:r w:rsidRPr="008761E3">
        <w:rPr>
          <w:sz w:val="28"/>
          <w:vertAlign w:val="subscript"/>
          <w:lang w:val="fr-FR"/>
        </w:rPr>
        <w:t>ef de Lucrări</w:t>
      </w:r>
      <w:r w:rsidRPr="008761E3">
        <w:rPr>
          <w:lang w:val="fr-FR"/>
        </w:rPr>
        <w:t xml:space="preserve"> Universitar</w:t>
      </w:r>
      <w:r w:rsidRPr="008761E3">
        <w:rPr>
          <w:color w:val="0E4194"/>
          <w:sz w:val="22"/>
          <w:lang w:val="fr-FR"/>
        </w:rPr>
        <w:t xml:space="preserve"> </w:t>
      </w:r>
    </w:p>
    <w:p w:rsidR="0035633B" w:rsidRPr="008761E3" w:rsidRDefault="007250F6">
      <w:pPr>
        <w:ind w:left="2843" w:right="333"/>
        <w:rPr>
          <w:lang w:val="fr-FR"/>
        </w:rPr>
      </w:pPr>
      <w:r w:rsidRPr="008761E3">
        <w:rPr>
          <w:lang w:val="fr-FR"/>
        </w:rPr>
        <w:t xml:space="preserve">Disciplina de Farmacologie, Departamentul de Biochimie și Farmacologie al Universităţii de </w:t>
      </w:r>
    </w:p>
    <w:p w:rsidR="0035633B" w:rsidRPr="008761E3" w:rsidRDefault="007250F6">
      <w:pPr>
        <w:spacing w:after="111"/>
        <w:ind w:left="2843" w:right="333"/>
        <w:rPr>
          <w:lang w:val="fr-FR"/>
        </w:rPr>
      </w:pPr>
      <w:r w:rsidRPr="008761E3">
        <w:rPr>
          <w:lang w:val="fr-FR"/>
        </w:rPr>
        <w:t>Medicină şi Farmacie „Victor Babeş” Timişoara; Universitatea de Medicină și Farmacie ”Victor Babeș” Timișoara, Piața Eftimie Murgu Nr. 2A</w:t>
      </w:r>
      <w:r w:rsidRPr="008761E3">
        <w:rPr>
          <w:lang w:val="fr-FR"/>
        </w:rPr>
        <w:t xml:space="preserve">, Timișoara 300041, Romania, www.umft.ro </w:t>
      </w:r>
      <w:r w:rsidRPr="008761E3">
        <w:rPr>
          <w:color w:val="3F3A38"/>
          <w:sz w:val="16"/>
          <w:lang w:val="fr-FR"/>
        </w:rPr>
        <w:t xml:space="preserve"> </w:t>
      </w:r>
    </w:p>
    <w:p w:rsidR="0035633B" w:rsidRPr="008761E3" w:rsidRDefault="007250F6">
      <w:pPr>
        <w:ind w:left="2843" w:right="333"/>
        <w:rPr>
          <w:lang w:val="fr-FR"/>
        </w:rPr>
      </w:pPr>
      <w:r w:rsidRPr="008761E3">
        <w:rPr>
          <w:lang w:val="fr-FR"/>
        </w:rPr>
        <w:t xml:space="preserve">Activități didactice  </w:t>
      </w:r>
    </w:p>
    <w:p w:rsidR="0035633B" w:rsidRPr="008761E3" w:rsidRDefault="007250F6">
      <w:pPr>
        <w:spacing w:after="0" w:line="259" w:lineRule="auto"/>
        <w:ind w:left="10" w:right="627"/>
        <w:jc w:val="center"/>
        <w:rPr>
          <w:lang w:val="fr-FR"/>
        </w:rPr>
      </w:pPr>
      <w:r w:rsidRPr="008761E3">
        <w:rPr>
          <w:lang w:val="fr-FR"/>
        </w:rPr>
        <w:t xml:space="preserve">Activități de cercetare specifice – farmacologie și toxicologie  </w:t>
      </w:r>
    </w:p>
    <w:p w:rsidR="0035633B" w:rsidRPr="008761E3" w:rsidRDefault="007250F6">
      <w:pPr>
        <w:spacing w:after="121" w:line="259" w:lineRule="auto"/>
        <w:ind w:left="2833" w:firstLine="0"/>
        <w:jc w:val="left"/>
        <w:rPr>
          <w:lang w:val="fr-FR"/>
        </w:rPr>
      </w:pPr>
      <w:r w:rsidRPr="008761E3">
        <w:rPr>
          <w:lang w:val="fr-FR"/>
        </w:rPr>
        <w:t xml:space="preserve"> </w:t>
      </w:r>
    </w:p>
    <w:p w:rsidR="0035633B" w:rsidRPr="008761E3" w:rsidRDefault="007250F6">
      <w:pPr>
        <w:ind w:left="2843" w:right="333"/>
        <w:rPr>
          <w:lang w:val="fr-FR"/>
        </w:rPr>
      </w:pPr>
      <w:r w:rsidRPr="008761E3">
        <w:rPr>
          <w:lang w:val="fr-FR"/>
        </w:rPr>
        <w:t xml:space="preserve">Tipul sau sectorul de activitate - Educație </w:t>
      </w:r>
      <w:r w:rsidRPr="008761E3">
        <w:rPr>
          <w:color w:val="3F3A38"/>
          <w:sz w:val="16"/>
          <w:lang w:val="fr-FR"/>
        </w:rPr>
        <w:t xml:space="preserve"> </w:t>
      </w:r>
    </w:p>
    <w:p w:rsidR="0035633B" w:rsidRPr="008761E3" w:rsidRDefault="007250F6">
      <w:pPr>
        <w:spacing w:after="55" w:line="259" w:lineRule="auto"/>
        <w:ind w:left="0" w:firstLine="0"/>
        <w:jc w:val="left"/>
        <w:rPr>
          <w:lang w:val="fr-FR"/>
        </w:rPr>
      </w:pPr>
      <w:r w:rsidRPr="008761E3">
        <w:rPr>
          <w:lang w:val="fr-FR"/>
        </w:rPr>
        <w:t xml:space="preserve"> </w:t>
      </w:r>
      <w:r w:rsidRPr="008761E3">
        <w:rPr>
          <w:lang w:val="fr-FR"/>
        </w:rPr>
        <w:tab/>
        <w:t xml:space="preserve"> </w:t>
      </w:r>
    </w:p>
    <w:p w:rsidR="0035633B" w:rsidRDefault="007250F6">
      <w:pPr>
        <w:tabs>
          <w:tab w:val="center" w:pos="1992"/>
          <w:tab w:val="center" w:pos="4072"/>
        </w:tabs>
        <w:spacing w:after="61"/>
        <w:ind w:left="0" w:firstLine="0"/>
        <w:jc w:val="left"/>
      </w:pPr>
      <w:r w:rsidRPr="008761E3">
        <w:rPr>
          <w:rFonts w:ascii="Calibri" w:eastAsia="Calibri" w:hAnsi="Calibri" w:cs="Calibri"/>
          <w:sz w:val="22"/>
          <w:lang w:val="fr-FR"/>
        </w:rPr>
        <w:tab/>
      </w:r>
      <w:r>
        <w:t xml:space="preserve">1997 – prezent </w:t>
      </w:r>
      <w:r>
        <w:tab/>
        <w:t xml:space="preserve">SC Dentissimo SRL, Timișoara  </w:t>
      </w:r>
    </w:p>
    <w:p w:rsidR="0035633B" w:rsidRDefault="007250F6">
      <w:pPr>
        <w:tabs>
          <w:tab w:val="center" w:pos="1927"/>
          <w:tab w:val="center" w:pos="5141"/>
        </w:tabs>
        <w:ind w:left="0" w:firstLine="0"/>
        <w:jc w:val="left"/>
      </w:pPr>
      <w:r>
        <w:rPr>
          <w:rFonts w:ascii="Calibri" w:eastAsia="Calibri" w:hAnsi="Calibri" w:cs="Calibri"/>
          <w:sz w:val="22"/>
        </w:rPr>
        <w:tab/>
      </w:r>
      <w:r>
        <w:t xml:space="preserve"> 2008 – prezent </w:t>
      </w:r>
      <w:r>
        <w:tab/>
      </w:r>
      <w:r>
        <w:t xml:space="preserve">SC Dentissimo Dental Care SRL, str. Horea Nr. 3, 300380  </w:t>
      </w:r>
    </w:p>
    <w:p w:rsidR="0035633B" w:rsidRDefault="007250F6">
      <w:pPr>
        <w:spacing w:after="8" w:line="259" w:lineRule="auto"/>
        <w:ind w:left="2833" w:firstLine="0"/>
        <w:jc w:val="left"/>
      </w:pPr>
      <w:r>
        <w:t xml:space="preserve"> </w:t>
      </w:r>
    </w:p>
    <w:p w:rsidR="0035633B" w:rsidRDefault="007250F6">
      <w:pPr>
        <w:ind w:left="2843" w:right="333"/>
      </w:pPr>
      <w:r>
        <w:t xml:space="preserve">Activități medicale dentare, protetică dentară </w:t>
      </w:r>
    </w:p>
    <w:p w:rsidR="0035633B" w:rsidRDefault="007250F6">
      <w:pPr>
        <w:ind w:left="2843" w:right="1261"/>
      </w:pPr>
      <w:r>
        <w:t>Activități de cercetare specifice – management terapeutic în patologia stomatologică Tipul sau sectorul de activitate – Medicină</w:t>
      </w:r>
      <w:r>
        <w:rPr>
          <w:color w:val="0E4194"/>
          <w:sz w:val="22"/>
        </w:rPr>
        <w:t xml:space="preserve"> </w:t>
      </w:r>
    </w:p>
    <w:p w:rsidR="0035633B" w:rsidRDefault="007250F6">
      <w:pPr>
        <w:spacing w:after="0" w:line="259" w:lineRule="auto"/>
        <w:ind w:left="2833" w:firstLine="0"/>
        <w:jc w:val="left"/>
      </w:pPr>
      <w:r>
        <w:rPr>
          <w:color w:val="0E4194"/>
          <w:sz w:val="22"/>
        </w:rPr>
        <w:t xml:space="preserve"> </w:t>
      </w:r>
    </w:p>
    <w:p w:rsidR="0035633B" w:rsidRDefault="007250F6">
      <w:pPr>
        <w:spacing w:after="1" w:line="259" w:lineRule="auto"/>
        <w:ind w:left="2833" w:firstLine="0"/>
        <w:jc w:val="left"/>
      </w:pPr>
      <w:r>
        <w:rPr>
          <w:color w:val="0E4194"/>
          <w:sz w:val="22"/>
        </w:rPr>
        <w:t xml:space="preserve"> </w:t>
      </w:r>
    </w:p>
    <w:p w:rsidR="0035633B" w:rsidRDefault="007250F6">
      <w:pPr>
        <w:spacing w:after="56" w:line="259" w:lineRule="auto"/>
        <w:ind w:left="0" w:right="302" w:firstLine="0"/>
        <w:jc w:val="right"/>
      </w:pPr>
      <w:r>
        <w:t xml:space="preserve"> </w:t>
      </w:r>
      <w:r>
        <w:tab/>
      </w:r>
      <w:r>
        <w:rPr>
          <w:sz w:val="8"/>
        </w:rPr>
        <w:t xml:space="preserve">  </w:t>
      </w:r>
    </w:p>
    <w:p w:rsidR="0035633B" w:rsidRDefault="007250F6">
      <w:pPr>
        <w:tabs>
          <w:tab w:val="center" w:pos="1575"/>
          <w:tab w:val="center" w:pos="6625"/>
        </w:tabs>
        <w:ind w:left="0" w:firstLine="0"/>
        <w:jc w:val="left"/>
      </w:pPr>
      <w:r>
        <w:rPr>
          <w:rFonts w:ascii="Calibri" w:eastAsia="Calibri" w:hAnsi="Calibri" w:cs="Calibri"/>
          <w:sz w:val="22"/>
        </w:rPr>
        <w:tab/>
      </w:r>
      <w:r>
        <w:t xml:space="preserve">EDUCAŢIE ŞI FORMARE </w:t>
      </w:r>
      <w:r>
        <w:tab/>
      </w:r>
      <w:r>
        <w:rPr>
          <w:noProof/>
        </w:rPr>
        <w:drawing>
          <wp:inline distT="0" distB="0" distL="0" distR="0">
            <wp:extent cx="4782185" cy="88265"/>
            <wp:effectExtent l="0" t="0" r="0" b="0"/>
            <wp:docPr id="157" name="Picture 157"/>
            <wp:cNvGraphicFramePr/>
            <a:graphic xmlns:a="http://schemas.openxmlformats.org/drawingml/2006/main">
              <a:graphicData uri="http://schemas.openxmlformats.org/drawingml/2006/picture">
                <pic:pic xmlns:pic="http://schemas.openxmlformats.org/drawingml/2006/picture">
                  <pic:nvPicPr>
                    <pic:cNvPr id="157" name="Picture 157"/>
                    <pic:cNvPicPr/>
                  </pic:nvPicPr>
                  <pic:blipFill>
                    <a:blip r:embed="rId8"/>
                    <a:stretch>
                      <a:fillRect/>
                    </a:stretch>
                  </pic:blipFill>
                  <pic:spPr>
                    <a:xfrm>
                      <a:off x="0" y="0"/>
                      <a:ext cx="4782185" cy="88265"/>
                    </a:xfrm>
                    <a:prstGeom prst="rect">
                      <a:avLst/>
                    </a:prstGeom>
                  </pic:spPr>
                </pic:pic>
              </a:graphicData>
            </a:graphic>
          </wp:inline>
        </w:drawing>
      </w:r>
      <w:r>
        <w:rPr>
          <w:sz w:val="8"/>
        </w:rPr>
        <w:t xml:space="preserve"> </w:t>
      </w:r>
    </w:p>
    <w:p w:rsidR="0035633B" w:rsidRDefault="007250F6">
      <w:pPr>
        <w:spacing w:after="80" w:line="259" w:lineRule="auto"/>
        <w:ind w:left="0" w:right="281" w:firstLine="0"/>
        <w:jc w:val="center"/>
      </w:pPr>
      <w:r>
        <w:rPr>
          <w:sz w:val="16"/>
        </w:rPr>
        <w:t xml:space="preserve"> </w:t>
      </w:r>
    </w:p>
    <w:p w:rsidR="0035633B" w:rsidRPr="008761E3" w:rsidRDefault="007250F6">
      <w:pPr>
        <w:tabs>
          <w:tab w:val="center" w:pos="2372"/>
          <w:tab w:val="center" w:pos="3985"/>
          <w:tab w:val="center" w:pos="10665"/>
        </w:tabs>
        <w:spacing w:after="0" w:line="259" w:lineRule="auto"/>
        <w:ind w:left="0" w:firstLine="0"/>
        <w:jc w:val="left"/>
        <w:rPr>
          <w:lang w:val="fr-FR"/>
        </w:rPr>
      </w:pPr>
      <w:r>
        <w:rPr>
          <w:rFonts w:ascii="Calibri" w:eastAsia="Calibri" w:hAnsi="Calibri" w:cs="Calibri"/>
          <w:sz w:val="22"/>
        </w:rPr>
        <w:tab/>
      </w:r>
      <w:r w:rsidRPr="008761E3">
        <w:rPr>
          <w:lang w:val="fr-FR"/>
        </w:rPr>
        <w:t xml:space="preserve">2015 </w:t>
      </w:r>
      <w:r w:rsidRPr="008761E3">
        <w:rPr>
          <w:lang w:val="fr-FR"/>
        </w:rPr>
        <w:tab/>
        <w:t>Diploma de Doctor în Medicină</w:t>
      </w:r>
      <w:r w:rsidRPr="008761E3">
        <w:rPr>
          <w:sz w:val="22"/>
          <w:lang w:val="fr-FR"/>
        </w:rPr>
        <w:t xml:space="preserve"> </w:t>
      </w:r>
      <w:r w:rsidRPr="008761E3">
        <w:rPr>
          <w:sz w:val="22"/>
          <w:lang w:val="fr-FR"/>
        </w:rPr>
        <w:tab/>
      </w:r>
      <w:r w:rsidRPr="008761E3">
        <w:rPr>
          <w:sz w:val="15"/>
          <w:lang w:val="fr-FR"/>
        </w:rPr>
        <w:t xml:space="preserve"> </w:t>
      </w:r>
    </w:p>
    <w:p w:rsidR="0035633B" w:rsidRPr="008761E3" w:rsidRDefault="007250F6">
      <w:pPr>
        <w:ind w:left="2848" w:right="333"/>
        <w:rPr>
          <w:lang w:val="fr-FR"/>
        </w:rPr>
      </w:pPr>
      <w:r w:rsidRPr="008761E3">
        <w:rPr>
          <w:lang w:val="fr-FR"/>
        </w:rPr>
        <w:t xml:space="preserve">Teza de doctorat EVALUAREA COMPARATIVĂ FARMACOLOGICĂ ŞI CLINICĂ A TERAPIEI CU ANTIINFLAMATOARE NESTEROIDIENE (AINS) LA PACIENTUL CU BOALĂ PARODONTALĂ </w:t>
      </w:r>
    </w:p>
    <w:p w:rsidR="0035633B" w:rsidRPr="008761E3" w:rsidRDefault="007250F6">
      <w:pPr>
        <w:spacing w:after="134"/>
        <w:ind w:left="2848" w:right="333"/>
        <w:rPr>
          <w:lang w:val="fr-FR"/>
        </w:rPr>
      </w:pPr>
      <w:r w:rsidRPr="008761E3">
        <w:rPr>
          <w:lang w:val="fr-FR"/>
        </w:rPr>
        <w:t>CRONICĂ, Disciplina de Farmacologie, Un</w:t>
      </w:r>
      <w:r w:rsidRPr="008761E3">
        <w:rPr>
          <w:lang w:val="fr-FR"/>
        </w:rPr>
        <w:t>iversitatea de Medicină și Farmacie ``Victor Babeș``, Facultatea de Medicină Generală, Timișoara, România.</w:t>
      </w:r>
      <w:r w:rsidRPr="008761E3">
        <w:rPr>
          <w:color w:val="3F3A38"/>
          <w:lang w:val="fr-FR"/>
        </w:rPr>
        <w:t xml:space="preserve"> </w:t>
      </w:r>
    </w:p>
    <w:p w:rsidR="0035633B" w:rsidRPr="008761E3" w:rsidRDefault="007250F6">
      <w:pPr>
        <w:spacing w:after="57" w:line="259" w:lineRule="auto"/>
        <w:ind w:left="0" w:firstLine="0"/>
        <w:jc w:val="right"/>
        <w:rPr>
          <w:lang w:val="fr-FR"/>
        </w:rPr>
      </w:pPr>
      <w:r w:rsidRPr="008761E3">
        <w:rPr>
          <w:lang w:val="fr-FR"/>
        </w:rPr>
        <w:t xml:space="preserve"> </w:t>
      </w:r>
      <w:r w:rsidRPr="008761E3">
        <w:rPr>
          <w:lang w:val="fr-FR"/>
        </w:rPr>
        <w:tab/>
      </w:r>
      <w:r w:rsidRPr="008761E3">
        <w:rPr>
          <w:sz w:val="22"/>
          <w:lang w:val="fr-FR"/>
        </w:rPr>
        <w:t xml:space="preserve"> </w:t>
      </w:r>
      <w:r w:rsidRPr="008761E3">
        <w:rPr>
          <w:sz w:val="22"/>
          <w:lang w:val="fr-FR"/>
        </w:rPr>
        <w:tab/>
      </w:r>
      <w:r w:rsidRPr="008761E3">
        <w:rPr>
          <w:sz w:val="15"/>
          <w:lang w:val="fr-FR"/>
        </w:rPr>
        <w:t xml:space="preserve"> </w:t>
      </w:r>
    </w:p>
    <w:p w:rsidR="0035633B" w:rsidRPr="008761E3" w:rsidRDefault="007250F6">
      <w:pPr>
        <w:spacing w:after="33"/>
        <w:ind w:left="2482" w:right="1337" w:hanging="936"/>
        <w:rPr>
          <w:lang w:val="fr-FR"/>
        </w:rPr>
      </w:pPr>
      <w:r w:rsidRPr="008761E3">
        <w:rPr>
          <w:lang w:val="fr-FR"/>
        </w:rPr>
        <w:t>2008 – 2009 Studii universitare de Masterat –  Universitatea de Medicină și Farmacie ``Victor Babeș``  Timișoara, titlul de master în domeniul</w:t>
      </w:r>
      <w:r w:rsidRPr="008761E3">
        <w:rPr>
          <w:lang w:val="fr-FR"/>
        </w:rPr>
        <w:t xml:space="preserve"> sănătate, programul de studii ``Managementul  serviciilor sociale și de sănătate``</w:t>
      </w:r>
      <w:r w:rsidRPr="008761E3">
        <w:rPr>
          <w:sz w:val="8"/>
          <w:lang w:val="fr-FR"/>
        </w:rPr>
        <w:t xml:space="preserve"> </w:t>
      </w:r>
    </w:p>
    <w:p w:rsidR="0035633B" w:rsidRPr="008761E3" w:rsidRDefault="007250F6">
      <w:pPr>
        <w:spacing w:after="61" w:line="259" w:lineRule="auto"/>
        <w:ind w:left="2555" w:firstLine="0"/>
        <w:jc w:val="left"/>
        <w:rPr>
          <w:lang w:val="fr-FR"/>
        </w:rPr>
      </w:pPr>
      <w:r w:rsidRPr="008761E3">
        <w:rPr>
          <w:sz w:val="12"/>
          <w:lang w:val="fr-FR"/>
        </w:rPr>
        <w:t xml:space="preserve"> </w:t>
      </w:r>
      <w:r w:rsidRPr="008761E3">
        <w:rPr>
          <w:sz w:val="12"/>
          <w:lang w:val="fr-FR"/>
        </w:rPr>
        <w:tab/>
      </w:r>
      <w:r w:rsidRPr="008761E3">
        <w:rPr>
          <w:sz w:val="8"/>
          <w:lang w:val="fr-FR"/>
        </w:rPr>
        <w:t xml:space="preserve"> </w:t>
      </w:r>
    </w:p>
    <w:p w:rsidR="0035633B" w:rsidRDefault="007250F6">
      <w:pPr>
        <w:tabs>
          <w:tab w:val="center" w:pos="2091"/>
          <w:tab w:val="center" w:pos="6187"/>
        </w:tabs>
        <w:spacing w:after="116"/>
        <w:ind w:left="0" w:firstLine="0"/>
        <w:jc w:val="left"/>
      </w:pPr>
      <w:r w:rsidRPr="008761E3">
        <w:rPr>
          <w:rFonts w:ascii="Calibri" w:eastAsia="Calibri" w:hAnsi="Calibri" w:cs="Calibri"/>
          <w:sz w:val="22"/>
          <w:lang w:val="fr-FR"/>
        </w:rPr>
        <w:tab/>
      </w:r>
      <w:r>
        <w:t xml:space="preserve">2003 – 2007 </w:t>
      </w:r>
      <w:r>
        <w:tab/>
        <w:t xml:space="preserve">Universitatea din Oradea, Facultatea de Medicină și Farmacie, specializarea: Stomatologie      </w:t>
      </w:r>
    </w:p>
    <w:p w:rsidR="0035633B" w:rsidRPr="008761E3" w:rsidRDefault="007250F6">
      <w:pPr>
        <w:tabs>
          <w:tab w:val="center" w:pos="2091"/>
          <w:tab w:val="center" w:pos="4363"/>
        </w:tabs>
        <w:spacing w:after="126"/>
        <w:ind w:left="0" w:firstLine="0"/>
        <w:jc w:val="left"/>
        <w:rPr>
          <w:lang w:val="fr-FR"/>
        </w:rPr>
      </w:pPr>
      <w:r>
        <w:rPr>
          <w:rFonts w:ascii="Calibri" w:eastAsia="Calibri" w:hAnsi="Calibri" w:cs="Calibri"/>
          <w:sz w:val="22"/>
        </w:rPr>
        <w:tab/>
      </w:r>
      <w:r w:rsidRPr="008761E3">
        <w:rPr>
          <w:lang w:val="fr-FR"/>
        </w:rPr>
        <w:t xml:space="preserve">1995 – 1996 </w:t>
      </w:r>
      <w:r w:rsidRPr="008761E3">
        <w:rPr>
          <w:lang w:val="fr-FR"/>
        </w:rPr>
        <w:tab/>
        <w:t>Examen de licență  UMF”Gr.T.Popa” -</w:t>
      </w:r>
      <w:r w:rsidRPr="008761E3">
        <w:rPr>
          <w:lang w:val="fr-FR"/>
        </w:rPr>
        <w:t xml:space="preserve">Iași                        </w:t>
      </w:r>
    </w:p>
    <w:p w:rsidR="0035633B" w:rsidRDefault="007250F6">
      <w:pPr>
        <w:spacing w:line="385" w:lineRule="auto"/>
        <w:ind w:left="1556" w:right="3812"/>
      </w:pPr>
      <w:r>
        <w:t xml:space="preserve">1992 – 1995 </w:t>
      </w:r>
      <w:r>
        <w:tab/>
        <w:t xml:space="preserve">Colegiul de tehnică dentară “Hyperion” Timișoara 1988 – 1992 </w:t>
      </w:r>
      <w:r>
        <w:tab/>
        <w:t>Liceul Sanitar, Timișoara</w:t>
      </w:r>
      <w:r>
        <w:rPr>
          <w:color w:val="3F3A38"/>
        </w:rPr>
        <w:t xml:space="preserve"> </w:t>
      </w:r>
    </w:p>
    <w:p w:rsidR="0035633B" w:rsidRDefault="007250F6">
      <w:pPr>
        <w:spacing w:after="0" w:line="259" w:lineRule="auto"/>
        <w:ind w:left="0" w:firstLine="0"/>
        <w:jc w:val="left"/>
      </w:pPr>
      <w:r>
        <w:rPr>
          <w:sz w:val="16"/>
        </w:rPr>
        <w:t xml:space="preserve"> </w:t>
      </w:r>
    </w:p>
    <w:p w:rsidR="0035633B" w:rsidRDefault="007250F6">
      <w:pPr>
        <w:spacing w:after="0" w:line="259" w:lineRule="auto"/>
        <w:ind w:left="0" w:firstLine="0"/>
        <w:jc w:val="left"/>
      </w:pPr>
      <w:r>
        <w:rPr>
          <w:sz w:val="16"/>
        </w:rPr>
        <w:t xml:space="preserve"> </w:t>
      </w:r>
    </w:p>
    <w:p w:rsidR="0035633B" w:rsidRDefault="007250F6">
      <w:pPr>
        <w:spacing w:after="0" w:line="259" w:lineRule="auto"/>
        <w:ind w:left="0" w:firstLine="0"/>
        <w:jc w:val="left"/>
      </w:pPr>
      <w:r>
        <w:rPr>
          <w:sz w:val="16"/>
        </w:rPr>
        <w:t xml:space="preserve"> </w:t>
      </w:r>
    </w:p>
    <w:p w:rsidR="0035633B" w:rsidRDefault="007250F6">
      <w:pPr>
        <w:spacing w:after="0" w:line="259" w:lineRule="auto"/>
        <w:ind w:left="0" w:firstLine="0"/>
        <w:jc w:val="left"/>
      </w:pPr>
      <w:r>
        <w:rPr>
          <w:sz w:val="16"/>
        </w:rPr>
        <w:t xml:space="preserve"> </w:t>
      </w:r>
    </w:p>
    <w:p w:rsidR="0035633B" w:rsidRDefault="007250F6">
      <w:pPr>
        <w:spacing w:after="0" w:line="259" w:lineRule="auto"/>
        <w:ind w:left="0" w:firstLine="0"/>
        <w:jc w:val="left"/>
      </w:pPr>
      <w:r>
        <w:rPr>
          <w:sz w:val="16"/>
        </w:rPr>
        <w:t xml:space="preserve"> </w:t>
      </w:r>
    </w:p>
    <w:p w:rsidR="0035633B" w:rsidRDefault="007250F6">
      <w:pPr>
        <w:spacing w:after="0" w:line="259" w:lineRule="auto"/>
        <w:ind w:left="0" w:firstLine="0"/>
        <w:jc w:val="left"/>
      </w:pPr>
      <w:r>
        <w:rPr>
          <w:sz w:val="16"/>
        </w:rPr>
        <w:t xml:space="preserve"> </w:t>
      </w:r>
    </w:p>
    <w:p w:rsidR="0035633B" w:rsidRDefault="007250F6">
      <w:pPr>
        <w:spacing w:after="0" w:line="259" w:lineRule="auto"/>
        <w:ind w:left="0" w:firstLine="0"/>
        <w:jc w:val="left"/>
      </w:pPr>
      <w:r>
        <w:rPr>
          <w:sz w:val="16"/>
        </w:rPr>
        <w:t xml:space="preserve"> </w:t>
      </w:r>
    </w:p>
    <w:p w:rsidR="0035633B" w:rsidRDefault="007250F6">
      <w:pPr>
        <w:spacing w:after="0" w:line="259" w:lineRule="auto"/>
        <w:ind w:left="0" w:firstLine="0"/>
        <w:jc w:val="left"/>
      </w:pPr>
      <w:r>
        <w:rPr>
          <w:sz w:val="16"/>
        </w:rPr>
        <w:t xml:space="preserve"> </w:t>
      </w:r>
    </w:p>
    <w:p w:rsidR="0035633B" w:rsidRDefault="007250F6">
      <w:pPr>
        <w:spacing w:after="0" w:line="259" w:lineRule="auto"/>
        <w:ind w:left="0" w:firstLine="0"/>
        <w:jc w:val="left"/>
      </w:pPr>
      <w:r>
        <w:rPr>
          <w:sz w:val="16"/>
        </w:rPr>
        <w:t xml:space="preserve"> </w:t>
      </w:r>
    </w:p>
    <w:p w:rsidR="0035633B" w:rsidRDefault="007250F6">
      <w:pPr>
        <w:spacing w:after="0" w:line="259" w:lineRule="auto"/>
        <w:ind w:left="0" w:firstLine="0"/>
        <w:jc w:val="left"/>
      </w:pPr>
      <w:r>
        <w:rPr>
          <w:sz w:val="16"/>
        </w:rPr>
        <w:t xml:space="preserve"> </w:t>
      </w:r>
    </w:p>
    <w:p w:rsidR="0035633B" w:rsidRDefault="007250F6">
      <w:pPr>
        <w:spacing w:after="49" w:line="259" w:lineRule="auto"/>
        <w:ind w:left="0" w:firstLine="0"/>
        <w:jc w:val="left"/>
      </w:pPr>
      <w:r>
        <w:rPr>
          <w:sz w:val="16"/>
        </w:rPr>
        <w:lastRenderedPageBreak/>
        <w:t xml:space="preserve"> </w:t>
      </w:r>
    </w:p>
    <w:p w:rsidR="0035633B" w:rsidRDefault="007250F6">
      <w:pPr>
        <w:spacing w:after="0" w:line="259" w:lineRule="auto"/>
        <w:ind w:left="10" w:right="332"/>
        <w:jc w:val="right"/>
      </w:pPr>
      <w:r>
        <w:t>COMPETENΤE PERSONALE</w:t>
      </w:r>
      <w:r>
        <w:rPr>
          <w:color w:val="0E4194"/>
        </w:rPr>
        <w:t xml:space="preserve"> </w:t>
      </w:r>
      <w:r>
        <w:rPr>
          <w:sz w:val="13"/>
          <w:vertAlign w:val="subscript"/>
        </w:rPr>
        <w:t xml:space="preserve"> </w:t>
      </w:r>
    </w:p>
    <w:tbl>
      <w:tblPr>
        <w:tblStyle w:val="TableGrid"/>
        <w:tblpPr w:vertAnchor="text" w:tblpX="2833" w:tblpY="-76"/>
        <w:tblOverlap w:val="never"/>
        <w:tblW w:w="7549" w:type="dxa"/>
        <w:tblInd w:w="0" w:type="dxa"/>
        <w:tblCellMar>
          <w:top w:w="20" w:type="dxa"/>
          <w:left w:w="0" w:type="dxa"/>
          <w:bottom w:w="0" w:type="dxa"/>
          <w:right w:w="129" w:type="dxa"/>
        </w:tblCellMar>
        <w:tblLook w:val="04A0" w:firstRow="1" w:lastRow="0" w:firstColumn="1" w:lastColumn="0" w:noHBand="0" w:noVBand="1"/>
      </w:tblPr>
      <w:tblGrid>
        <w:gridCol w:w="1546"/>
        <w:gridCol w:w="581"/>
        <w:gridCol w:w="917"/>
        <w:gridCol w:w="1498"/>
        <w:gridCol w:w="1504"/>
        <w:gridCol w:w="1503"/>
      </w:tblGrid>
      <w:tr w:rsidR="0035633B">
        <w:trPr>
          <w:trHeight w:val="1146"/>
        </w:trPr>
        <w:tc>
          <w:tcPr>
            <w:tcW w:w="2127" w:type="dxa"/>
            <w:gridSpan w:val="2"/>
            <w:tcBorders>
              <w:top w:val="single" w:sz="56" w:space="0" w:color="000000"/>
              <w:left w:val="nil"/>
              <w:bottom w:val="single" w:sz="8" w:space="0" w:color="C0C0C0"/>
              <w:right w:val="nil"/>
            </w:tcBorders>
            <w:vAlign w:val="center"/>
          </w:tcPr>
          <w:p w:rsidR="0035633B" w:rsidRDefault="007250F6">
            <w:pPr>
              <w:spacing w:after="39" w:line="259" w:lineRule="auto"/>
              <w:ind w:left="0" w:firstLine="0"/>
              <w:jc w:val="left"/>
            </w:pPr>
            <w:r>
              <w:t xml:space="preserve"> </w:t>
            </w:r>
          </w:p>
          <w:p w:rsidR="0035633B" w:rsidRDefault="007250F6">
            <w:pPr>
              <w:spacing w:after="33" w:line="259" w:lineRule="auto"/>
              <w:ind w:left="0" w:firstLine="0"/>
              <w:jc w:val="left"/>
            </w:pPr>
            <w:r>
              <w:t xml:space="preserve">Română </w:t>
            </w:r>
            <w:r>
              <w:rPr>
                <w:color w:val="3F3A38"/>
              </w:rPr>
              <w:t xml:space="preserve"> </w:t>
            </w:r>
          </w:p>
          <w:p w:rsidR="0035633B" w:rsidRDefault="007250F6">
            <w:pPr>
              <w:spacing w:after="0" w:line="259" w:lineRule="auto"/>
              <w:ind w:left="0" w:firstLine="0"/>
              <w:jc w:val="left"/>
            </w:pPr>
            <w:r>
              <w:rPr>
                <w:sz w:val="16"/>
              </w:rPr>
              <w:t xml:space="preserve"> </w:t>
            </w:r>
          </w:p>
        </w:tc>
        <w:tc>
          <w:tcPr>
            <w:tcW w:w="917" w:type="dxa"/>
            <w:tcBorders>
              <w:top w:val="single" w:sz="56" w:space="0" w:color="000000"/>
              <w:left w:val="nil"/>
              <w:bottom w:val="single" w:sz="8" w:space="0" w:color="C0C0C0"/>
              <w:right w:val="nil"/>
            </w:tcBorders>
          </w:tcPr>
          <w:p w:rsidR="0035633B" w:rsidRDefault="0035633B">
            <w:pPr>
              <w:spacing w:after="160" w:line="259" w:lineRule="auto"/>
              <w:ind w:left="0" w:firstLine="0"/>
              <w:jc w:val="left"/>
            </w:pPr>
          </w:p>
        </w:tc>
        <w:tc>
          <w:tcPr>
            <w:tcW w:w="3002" w:type="dxa"/>
            <w:gridSpan w:val="2"/>
            <w:tcBorders>
              <w:top w:val="single" w:sz="56" w:space="0" w:color="000000"/>
              <w:left w:val="nil"/>
              <w:bottom w:val="single" w:sz="8" w:space="0" w:color="C0C0C0"/>
              <w:right w:val="nil"/>
            </w:tcBorders>
          </w:tcPr>
          <w:p w:rsidR="0035633B" w:rsidRDefault="0035633B">
            <w:pPr>
              <w:spacing w:after="160" w:line="259" w:lineRule="auto"/>
              <w:ind w:left="0" w:firstLine="0"/>
              <w:jc w:val="left"/>
            </w:pPr>
          </w:p>
        </w:tc>
        <w:tc>
          <w:tcPr>
            <w:tcW w:w="1503" w:type="dxa"/>
            <w:tcBorders>
              <w:top w:val="single" w:sz="56" w:space="0" w:color="000000"/>
              <w:left w:val="nil"/>
              <w:bottom w:val="single" w:sz="8" w:space="0" w:color="C0C0C0"/>
              <w:right w:val="nil"/>
            </w:tcBorders>
          </w:tcPr>
          <w:p w:rsidR="0035633B" w:rsidRDefault="0035633B">
            <w:pPr>
              <w:spacing w:after="160" w:line="259" w:lineRule="auto"/>
              <w:ind w:left="0" w:firstLine="0"/>
              <w:jc w:val="left"/>
            </w:pPr>
          </w:p>
        </w:tc>
      </w:tr>
      <w:tr w:rsidR="0035633B">
        <w:trPr>
          <w:trHeight w:val="360"/>
        </w:trPr>
        <w:tc>
          <w:tcPr>
            <w:tcW w:w="2127" w:type="dxa"/>
            <w:gridSpan w:val="2"/>
            <w:tcBorders>
              <w:top w:val="single" w:sz="8" w:space="0" w:color="C0C0C0"/>
              <w:left w:val="nil"/>
              <w:bottom w:val="single" w:sz="8" w:space="0" w:color="C0C0C0"/>
              <w:right w:val="nil"/>
            </w:tcBorders>
            <w:vAlign w:val="center"/>
          </w:tcPr>
          <w:p w:rsidR="0035633B" w:rsidRDefault="007250F6">
            <w:pPr>
              <w:spacing w:after="0" w:line="259" w:lineRule="auto"/>
              <w:ind w:left="0" w:right="61" w:firstLine="0"/>
              <w:jc w:val="right"/>
            </w:pPr>
            <w:r>
              <w:rPr>
                <w:sz w:val="14"/>
              </w:rPr>
              <w:t xml:space="preserve">ΙNΤELEGERE  </w:t>
            </w:r>
          </w:p>
        </w:tc>
        <w:tc>
          <w:tcPr>
            <w:tcW w:w="917" w:type="dxa"/>
            <w:tcBorders>
              <w:top w:val="single" w:sz="8" w:space="0" w:color="C0C0C0"/>
              <w:left w:val="nil"/>
              <w:bottom w:val="single" w:sz="8" w:space="0" w:color="C0C0C0"/>
              <w:right w:val="single" w:sz="8" w:space="0" w:color="C0C0C0"/>
            </w:tcBorders>
          </w:tcPr>
          <w:p w:rsidR="0035633B" w:rsidRDefault="0035633B">
            <w:pPr>
              <w:spacing w:after="160" w:line="259" w:lineRule="auto"/>
              <w:ind w:left="0" w:firstLine="0"/>
              <w:jc w:val="left"/>
            </w:pPr>
          </w:p>
        </w:tc>
        <w:tc>
          <w:tcPr>
            <w:tcW w:w="3002" w:type="dxa"/>
            <w:gridSpan w:val="2"/>
            <w:tcBorders>
              <w:top w:val="single" w:sz="8" w:space="0" w:color="C0C0C0"/>
              <w:left w:val="single" w:sz="8" w:space="0" w:color="C0C0C0"/>
              <w:bottom w:val="single" w:sz="8" w:space="0" w:color="C0C0C0"/>
              <w:right w:val="single" w:sz="8" w:space="0" w:color="C0C0C0"/>
            </w:tcBorders>
            <w:vAlign w:val="center"/>
          </w:tcPr>
          <w:p w:rsidR="0035633B" w:rsidRDefault="007250F6">
            <w:pPr>
              <w:spacing w:after="0" w:line="259" w:lineRule="auto"/>
              <w:ind w:left="131" w:firstLine="0"/>
              <w:jc w:val="center"/>
            </w:pPr>
            <w:r>
              <w:rPr>
                <w:sz w:val="14"/>
              </w:rPr>
              <w:t xml:space="preserve">VORBIRE  </w:t>
            </w:r>
          </w:p>
        </w:tc>
        <w:tc>
          <w:tcPr>
            <w:tcW w:w="1503" w:type="dxa"/>
            <w:tcBorders>
              <w:top w:val="single" w:sz="8" w:space="0" w:color="C0C0C0"/>
              <w:left w:val="single" w:sz="8" w:space="0" w:color="C0C0C0"/>
              <w:bottom w:val="single" w:sz="8" w:space="0" w:color="C0C0C0"/>
              <w:right w:val="nil"/>
            </w:tcBorders>
            <w:vAlign w:val="center"/>
          </w:tcPr>
          <w:p w:rsidR="0035633B" w:rsidRDefault="007250F6">
            <w:pPr>
              <w:spacing w:after="0" w:line="259" w:lineRule="auto"/>
              <w:ind w:left="140" w:firstLine="0"/>
              <w:jc w:val="center"/>
            </w:pPr>
            <w:r>
              <w:rPr>
                <w:sz w:val="14"/>
              </w:rPr>
              <w:t xml:space="preserve">SCRIERE </w:t>
            </w:r>
            <w:r>
              <w:rPr>
                <w:color w:val="0E4194"/>
                <w:sz w:val="14"/>
              </w:rPr>
              <w:t xml:space="preserve"> </w:t>
            </w:r>
          </w:p>
        </w:tc>
      </w:tr>
      <w:tr w:rsidR="0035633B">
        <w:trPr>
          <w:trHeight w:val="389"/>
        </w:trPr>
        <w:tc>
          <w:tcPr>
            <w:tcW w:w="1547" w:type="dxa"/>
            <w:tcBorders>
              <w:top w:val="single" w:sz="8" w:space="0" w:color="C0C0C0"/>
              <w:left w:val="nil"/>
              <w:bottom w:val="single" w:sz="8" w:space="0" w:color="C0C0C0"/>
              <w:right w:val="single" w:sz="8" w:space="0" w:color="C0C0C0"/>
            </w:tcBorders>
            <w:vAlign w:val="center"/>
          </w:tcPr>
          <w:p w:rsidR="0035633B" w:rsidRDefault="007250F6">
            <w:pPr>
              <w:spacing w:after="0" w:line="259" w:lineRule="auto"/>
              <w:ind w:left="131" w:firstLine="0"/>
              <w:jc w:val="center"/>
            </w:pPr>
            <w:r>
              <w:rPr>
                <w:sz w:val="16"/>
              </w:rPr>
              <w:t xml:space="preserve">Ascultare  </w:t>
            </w:r>
          </w:p>
        </w:tc>
        <w:tc>
          <w:tcPr>
            <w:tcW w:w="581" w:type="dxa"/>
            <w:tcBorders>
              <w:top w:val="single" w:sz="8" w:space="0" w:color="C0C0C0"/>
              <w:left w:val="single" w:sz="8" w:space="0" w:color="C0C0C0"/>
              <w:bottom w:val="single" w:sz="8" w:space="0" w:color="C0C0C0"/>
              <w:right w:val="nil"/>
            </w:tcBorders>
          </w:tcPr>
          <w:p w:rsidR="0035633B" w:rsidRDefault="0035633B">
            <w:pPr>
              <w:spacing w:after="160" w:line="259" w:lineRule="auto"/>
              <w:ind w:left="0" w:firstLine="0"/>
              <w:jc w:val="left"/>
            </w:pPr>
          </w:p>
        </w:tc>
        <w:tc>
          <w:tcPr>
            <w:tcW w:w="917" w:type="dxa"/>
            <w:tcBorders>
              <w:top w:val="single" w:sz="8" w:space="0" w:color="C0C0C0"/>
              <w:left w:val="nil"/>
              <w:bottom w:val="single" w:sz="8" w:space="0" w:color="C0C0C0"/>
              <w:right w:val="single" w:sz="8" w:space="0" w:color="C0C0C0"/>
            </w:tcBorders>
            <w:vAlign w:val="center"/>
          </w:tcPr>
          <w:p w:rsidR="0035633B" w:rsidRDefault="007250F6">
            <w:pPr>
              <w:spacing w:after="0" w:line="259" w:lineRule="auto"/>
              <w:ind w:left="0" w:firstLine="0"/>
              <w:jc w:val="left"/>
            </w:pPr>
            <w:r>
              <w:rPr>
                <w:sz w:val="16"/>
              </w:rPr>
              <w:t xml:space="preserve">Citire  </w:t>
            </w:r>
          </w:p>
        </w:tc>
        <w:tc>
          <w:tcPr>
            <w:tcW w:w="1498" w:type="dxa"/>
            <w:tcBorders>
              <w:top w:val="single" w:sz="8" w:space="0" w:color="C0C0C0"/>
              <w:left w:val="single" w:sz="8" w:space="0" w:color="C0C0C0"/>
              <w:bottom w:val="single" w:sz="8" w:space="0" w:color="C0C0C0"/>
              <w:right w:val="single" w:sz="8" w:space="0" w:color="C0C0C0"/>
            </w:tcBorders>
          </w:tcPr>
          <w:p w:rsidR="0035633B" w:rsidRDefault="007250F6">
            <w:pPr>
              <w:spacing w:after="0" w:line="259" w:lineRule="auto"/>
              <w:ind w:left="0" w:firstLine="0"/>
              <w:jc w:val="center"/>
            </w:pPr>
            <w:r>
              <w:rPr>
                <w:sz w:val="16"/>
              </w:rPr>
              <w:t xml:space="preserve">Participare la conversaţie  </w:t>
            </w:r>
          </w:p>
        </w:tc>
        <w:tc>
          <w:tcPr>
            <w:tcW w:w="1503" w:type="dxa"/>
            <w:tcBorders>
              <w:top w:val="single" w:sz="8" w:space="0" w:color="C0C0C0"/>
              <w:left w:val="single" w:sz="8" w:space="0" w:color="C0C0C0"/>
              <w:bottom w:val="single" w:sz="8" w:space="0" w:color="C0C0C0"/>
              <w:right w:val="single" w:sz="8" w:space="0" w:color="C0C0C0"/>
            </w:tcBorders>
            <w:vAlign w:val="center"/>
          </w:tcPr>
          <w:p w:rsidR="0035633B" w:rsidRDefault="007250F6">
            <w:pPr>
              <w:spacing w:after="0" w:line="259" w:lineRule="auto"/>
              <w:ind w:left="140" w:firstLine="0"/>
              <w:jc w:val="center"/>
            </w:pPr>
            <w:r>
              <w:rPr>
                <w:sz w:val="16"/>
              </w:rPr>
              <w:t xml:space="preserve">Discurs oral  </w:t>
            </w:r>
          </w:p>
        </w:tc>
        <w:tc>
          <w:tcPr>
            <w:tcW w:w="1503" w:type="dxa"/>
            <w:tcBorders>
              <w:top w:val="single" w:sz="8" w:space="0" w:color="C0C0C0"/>
              <w:left w:val="single" w:sz="8" w:space="0" w:color="C0C0C0"/>
              <w:bottom w:val="single" w:sz="8" w:space="0" w:color="C0C0C0"/>
              <w:right w:val="nil"/>
            </w:tcBorders>
          </w:tcPr>
          <w:p w:rsidR="0035633B" w:rsidRDefault="007250F6">
            <w:pPr>
              <w:spacing w:after="0" w:line="259" w:lineRule="auto"/>
              <w:ind w:left="10" w:firstLine="0"/>
              <w:jc w:val="left"/>
            </w:pPr>
            <w:r>
              <w:rPr>
                <w:sz w:val="16"/>
              </w:rPr>
              <w:t xml:space="preserve"> </w:t>
            </w:r>
          </w:p>
        </w:tc>
      </w:tr>
      <w:tr w:rsidR="0035633B">
        <w:trPr>
          <w:trHeight w:val="298"/>
        </w:trPr>
        <w:tc>
          <w:tcPr>
            <w:tcW w:w="2127" w:type="dxa"/>
            <w:gridSpan w:val="2"/>
            <w:tcBorders>
              <w:top w:val="single" w:sz="8" w:space="0" w:color="C0C0C0"/>
              <w:left w:val="nil"/>
              <w:bottom w:val="single" w:sz="4" w:space="0" w:color="C0C0C0"/>
              <w:right w:val="nil"/>
            </w:tcBorders>
          </w:tcPr>
          <w:p w:rsidR="0035633B" w:rsidRDefault="007250F6">
            <w:pPr>
              <w:spacing w:after="0" w:line="259" w:lineRule="auto"/>
              <w:ind w:left="668" w:firstLine="0"/>
              <w:jc w:val="left"/>
            </w:pPr>
            <w:r>
              <w:t xml:space="preserve">B2  </w:t>
            </w:r>
          </w:p>
        </w:tc>
        <w:tc>
          <w:tcPr>
            <w:tcW w:w="917" w:type="dxa"/>
            <w:tcBorders>
              <w:top w:val="single" w:sz="8" w:space="0" w:color="C0C0C0"/>
              <w:left w:val="nil"/>
              <w:bottom w:val="single" w:sz="4" w:space="0" w:color="C0C0C0"/>
              <w:right w:val="nil"/>
            </w:tcBorders>
          </w:tcPr>
          <w:p w:rsidR="0035633B" w:rsidRDefault="007250F6">
            <w:pPr>
              <w:spacing w:after="0" w:line="259" w:lineRule="auto"/>
              <w:ind w:left="62" w:firstLine="0"/>
              <w:jc w:val="left"/>
            </w:pPr>
            <w:r>
              <w:t xml:space="preserve">B2 </w:t>
            </w:r>
          </w:p>
        </w:tc>
        <w:tc>
          <w:tcPr>
            <w:tcW w:w="3002" w:type="dxa"/>
            <w:gridSpan w:val="2"/>
            <w:tcBorders>
              <w:top w:val="single" w:sz="8" w:space="0" w:color="C0C0C0"/>
              <w:left w:val="nil"/>
              <w:bottom w:val="single" w:sz="4" w:space="0" w:color="C0C0C0"/>
              <w:right w:val="nil"/>
            </w:tcBorders>
          </w:tcPr>
          <w:p w:rsidR="0035633B" w:rsidRDefault="007250F6">
            <w:pPr>
              <w:tabs>
                <w:tab w:val="center" w:pos="752"/>
                <w:tab w:val="center" w:pos="2255"/>
              </w:tabs>
              <w:spacing w:after="0" w:line="259" w:lineRule="auto"/>
              <w:ind w:left="0" w:firstLine="0"/>
              <w:jc w:val="left"/>
            </w:pPr>
            <w:r>
              <w:rPr>
                <w:rFonts w:ascii="Calibri" w:eastAsia="Calibri" w:hAnsi="Calibri" w:cs="Calibri"/>
                <w:sz w:val="22"/>
              </w:rPr>
              <w:tab/>
            </w:r>
            <w:r>
              <w:t xml:space="preserve">B2 </w:t>
            </w:r>
            <w:r>
              <w:tab/>
              <w:t xml:space="preserve">B2  </w:t>
            </w:r>
          </w:p>
        </w:tc>
        <w:tc>
          <w:tcPr>
            <w:tcW w:w="1503" w:type="dxa"/>
            <w:tcBorders>
              <w:top w:val="single" w:sz="8" w:space="0" w:color="C0C0C0"/>
              <w:left w:val="nil"/>
              <w:bottom w:val="single" w:sz="4" w:space="0" w:color="C0C0C0"/>
              <w:right w:val="nil"/>
            </w:tcBorders>
          </w:tcPr>
          <w:p w:rsidR="0035633B" w:rsidRDefault="007250F6">
            <w:pPr>
              <w:spacing w:after="0" w:line="259" w:lineRule="auto"/>
              <w:ind w:left="139" w:firstLine="0"/>
              <w:jc w:val="center"/>
            </w:pPr>
            <w:r>
              <w:t>B2</w:t>
            </w:r>
            <w:r>
              <w:rPr>
                <w:color w:val="3F3A38"/>
              </w:rPr>
              <w:t xml:space="preserve"> </w:t>
            </w:r>
          </w:p>
        </w:tc>
      </w:tr>
    </w:tbl>
    <w:p w:rsidR="0035633B" w:rsidRDefault="007250F6">
      <w:pPr>
        <w:spacing w:after="19" w:line="259" w:lineRule="auto"/>
        <w:ind w:left="0" w:right="324" w:firstLine="0"/>
        <w:jc w:val="left"/>
      </w:pPr>
      <w:r>
        <w:rPr>
          <w:sz w:val="16"/>
        </w:rPr>
        <w:t xml:space="preserve"> </w:t>
      </w:r>
    </w:p>
    <w:p w:rsidR="0035633B" w:rsidRDefault="007250F6">
      <w:pPr>
        <w:spacing w:after="35" w:line="259" w:lineRule="auto"/>
        <w:ind w:left="2550" w:right="324" w:firstLine="0"/>
        <w:jc w:val="left"/>
      </w:pPr>
      <w:r>
        <w:t xml:space="preserve"> </w:t>
      </w:r>
    </w:p>
    <w:p w:rsidR="0035633B" w:rsidRDefault="007250F6">
      <w:pPr>
        <w:ind w:left="1436" w:right="333"/>
      </w:pPr>
      <w:r>
        <w:t xml:space="preserve">Limba maternă </w:t>
      </w:r>
    </w:p>
    <w:p w:rsidR="0035633B" w:rsidRDefault="007250F6">
      <w:pPr>
        <w:spacing w:after="0" w:line="259" w:lineRule="auto"/>
        <w:ind w:left="2550" w:right="324" w:firstLine="0"/>
        <w:jc w:val="left"/>
      </w:pPr>
      <w:r>
        <w:t xml:space="preserve"> </w:t>
      </w:r>
    </w:p>
    <w:p w:rsidR="0035633B" w:rsidRDefault="007250F6">
      <w:pPr>
        <w:spacing w:after="55" w:line="259" w:lineRule="auto"/>
        <w:ind w:left="2550" w:right="324" w:firstLine="0"/>
        <w:jc w:val="left"/>
      </w:pPr>
      <w:r>
        <w:t xml:space="preserve"> </w:t>
      </w:r>
    </w:p>
    <w:p w:rsidR="0035633B" w:rsidRDefault="007250F6">
      <w:pPr>
        <w:spacing w:after="574"/>
        <w:ind w:left="538" w:right="333"/>
      </w:pPr>
      <w:r>
        <w:t xml:space="preserve">Alte limbi străine cunoscute </w:t>
      </w:r>
    </w:p>
    <w:p w:rsidR="0035633B" w:rsidRDefault="007250F6">
      <w:pPr>
        <w:ind w:left="1465" w:right="333"/>
      </w:pPr>
      <w:r>
        <w:t xml:space="preserve">Limba engleză </w:t>
      </w:r>
    </w:p>
    <w:tbl>
      <w:tblPr>
        <w:tblStyle w:val="TableGrid"/>
        <w:tblW w:w="8574" w:type="dxa"/>
        <w:tblInd w:w="0" w:type="dxa"/>
        <w:tblCellMar>
          <w:top w:w="0" w:type="dxa"/>
          <w:left w:w="0" w:type="dxa"/>
          <w:bottom w:w="0" w:type="dxa"/>
          <w:right w:w="0" w:type="dxa"/>
        </w:tblCellMar>
        <w:tblLook w:val="04A0" w:firstRow="1" w:lastRow="0" w:firstColumn="1" w:lastColumn="0" w:noHBand="0" w:noVBand="1"/>
      </w:tblPr>
      <w:tblGrid>
        <w:gridCol w:w="2833"/>
        <w:gridCol w:w="5741"/>
      </w:tblGrid>
      <w:tr w:rsidR="0035633B">
        <w:trPr>
          <w:trHeight w:val="586"/>
        </w:trPr>
        <w:tc>
          <w:tcPr>
            <w:tcW w:w="2833" w:type="dxa"/>
            <w:tcBorders>
              <w:top w:val="nil"/>
              <w:left w:val="nil"/>
              <w:bottom w:val="nil"/>
              <w:right w:val="nil"/>
            </w:tcBorders>
          </w:tcPr>
          <w:p w:rsidR="0035633B" w:rsidRDefault="007250F6">
            <w:pPr>
              <w:spacing w:after="202" w:line="259" w:lineRule="auto"/>
              <w:ind w:left="0" w:firstLine="0"/>
              <w:jc w:val="left"/>
            </w:pPr>
            <w:r>
              <w:rPr>
                <w:sz w:val="16"/>
              </w:rPr>
              <w:t xml:space="preserve"> </w:t>
            </w:r>
          </w:p>
          <w:p w:rsidR="0035633B" w:rsidRDefault="007250F6">
            <w:pPr>
              <w:spacing w:after="0" w:line="259" w:lineRule="auto"/>
              <w:ind w:left="0" w:firstLine="0"/>
              <w:jc w:val="left"/>
            </w:pPr>
            <w:r>
              <w:rPr>
                <w:sz w:val="16"/>
              </w:rPr>
              <w:t xml:space="preserve"> </w:t>
            </w:r>
          </w:p>
        </w:tc>
        <w:tc>
          <w:tcPr>
            <w:tcW w:w="5741" w:type="dxa"/>
            <w:tcBorders>
              <w:top w:val="nil"/>
              <w:left w:val="nil"/>
              <w:bottom w:val="nil"/>
              <w:right w:val="nil"/>
            </w:tcBorders>
          </w:tcPr>
          <w:p w:rsidR="0035633B" w:rsidRDefault="007250F6">
            <w:pPr>
              <w:spacing w:after="0" w:line="259" w:lineRule="auto"/>
              <w:ind w:left="0" w:firstLine="0"/>
              <w:jc w:val="left"/>
            </w:pPr>
            <w:r>
              <w:rPr>
                <w:sz w:val="15"/>
              </w:rPr>
              <w:t xml:space="preserve">Niveluri: A1/2: Utilizator elementar - B1/2: Utilizator independent - C1/2: Utilizator experimentat  </w:t>
            </w:r>
            <w:r>
              <w:rPr>
                <w:sz w:val="15"/>
              </w:rPr>
              <w:t xml:space="preserve">Cadrul european comun de referinţă pentru limbi străine </w:t>
            </w:r>
            <w:r>
              <w:rPr>
                <w:color w:val="0E4194"/>
                <w:sz w:val="15"/>
              </w:rPr>
              <w:t xml:space="preserve"> </w:t>
            </w:r>
          </w:p>
        </w:tc>
      </w:tr>
      <w:tr w:rsidR="0035633B" w:rsidRPr="008761E3">
        <w:trPr>
          <w:trHeight w:val="649"/>
        </w:trPr>
        <w:tc>
          <w:tcPr>
            <w:tcW w:w="2833" w:type="dxa"/>
            <w:tcBorders>
              <w:top w:val="nil"/>
              <w:left w:val="nil"/>
              <w:bottom w:val="nil"/>
              <w:right w:val="nil"/>
            </w:tcBorders>
          </w:tcPr>
          <w:p w:rsidR="0035633B" w:rsidRDefault="007250F6">
            <w:pPr>
              <w:spacing w:after="201" w:line="259" w:lineRule="auto"/>
              <w:ind w:left="57" w:firstLine="0"/>
              <w:jc w:val="center"/>
            </w:pPr>
            <w:r>
              <w:rPr>
                <w:b/>
              </w:rPr>
              <w:t xml:space="preserve">Competenţe de comunicare </w:t>
            </w:r>
            <w:r>
              <w:rPr>
                <w:color w:val="0E4194"/>
              </w:rPr>
              <w:t xml:space="preserve"> </w:t>
            </w:r>
          </w:p>
          <w:p w:rsidR="0035633B" w:rsidRDefault="007250F6">
            <w:pPr>
              <w:spacing w:after="0" w:line="259" w:lineRule="auto"/>
              <w:ind w:left="0" w:firstLine="0"/>
              <w:jc w:val="left"/>
            </w:pPr>
            <w:r>
              <w:rPr>
                <w:sz w:val="16"/>
              </w:rPr>
              <w:t xml:space="preserve"> </w:t>
            </w:r>
          </w:p>
        </w:tc>
        <w:tc>
          <w:tcPr>
            <w:tcW w:w="5741" w:type="dxa"/>
            <w:tcBorders>
              <w:top w:val="nil"/>
              <w:left w:val="nil"/>
              <w:bottom w:val="nil"/>
              <w:right w:val="nil"/>
            </w:tcBorders>
          </w:tcPr>
          <w:p w:rsidR="0035633B" w:rsidRPr="008761E3" w:rsidRDefault="007250F6">
            <w:pPr>
              <w:spacing w:after="0" w:line="259" w:lineRule="auto"/>
              <w:ind w:left="0" w:firstLine="0"/>
              <w:jc w:val="left"/>
              <w:rPr>
                <w:lang w:val="fr-FR"/>
              </w:rPr>
            </w:pPr>
            <w:r w:rsidRPr="008761E3">
              <w:rPr>
                <w:rFonts w:ascii="Segoe UI" w:eastAsia="Segoe UI" w:hAnsi="Segoe UI" w:cs="Segoe UI"/>
                <w:lang w:val="fr-FR"/>
              </w:rPr>
              <w:t>▪</w:t>
            </w:r>
            <w:r w:rsidRPr="008761E3">
              <w:rPr>
                <w:lang w:val="fr-FR"/>
              </w:rPr>
              <w:t xml:space="preserve"> capacitate de adaptare la medii diferite </w:t>
            </w:r>
          </w:p>
          <w:p w:rsidR="0035633B" w:rsidRPr="008761E3" w:rsidRDefault="007250F6">
            <w:pPr>
              <w:spacing w:after="0" w:line="259" w:lineRule="auto"/>
              <w:ind w:left="0" w:firstLine="0"/>
              <w:jc w:val="left"/>
              <w:rPr>
                <w:lang w:val="fr-FR"/>
              </w:rPr>
            </w:pPr>
            <w:r w:rsidRPr="008761E3">
              <w:rPr>
                <w:rFonts w:ascii="Segoe UI" w:eastAsia="Segoe UI" w:hAnsi="Segoe UI" w:cs="Segoe UI"/>
                <w:lang w:val="fr-FR"/>
              </w:rPr>
              <w:t>▪</w:t>
            </w:r>
            <w:r w:rsidRPr="008761E3">
              <w:rPr>
                <w:lang w:val="fr-FR"/>
              </w:rPr>
              <w:t xml:space="preserve"> sociabil, responsabil, comunicativ, eficient, gandire pozitivă</w:t>
            </w:r>
            <w:r w:rsidRPr="008761E3">
              <w:rPr>
                <w:sz w:val="20"/>
                <w:lang w:val="fr-FR"/>
              </w:rPr>
              <w:t xml:space="preserve"> </w:t>
            </w:r>
          </w:p>
        </w:tc>
      </w:tr>
      <w:tr w:rsidR="0035633B" w:rsidRPr="008761E3">
        <w:trPr>
          <w:trHeight w:val="425"/>
        </w:trPr>
        <w:tc>
          <w:tcPr>
            <w:tcW w:w="2833" w:type="dxa"/>
            <w:tcBorders>
              <w:top w:val="nil"/>
              <w:left w:val="nil"/>
              <w:bottom w:val="nil"/>
              <w:right w:val="nil"/>
            </w:tcBorders>
          </w:tcPr>
          <w:p w:rsidR="0035633B" w:rsidRPr="008761E3" w:rsidRDefault="007250F6">
            <w:pPr>
              <w:spacing w:after="0" w:line="259" w:lineRule="auto"/>
              <w:ind w:left="1009" w:hanging="783"/>
              <w:jc w:val="left"/>
              <w:rPr>
                <w:lang w:val="fr-FR"/>
              </w:rPr>
            </w:pPr>
            <w:r w:rsidRPr="008761E3">
              <w:rPr>
                <w:b/>
                <w:lang w:val="fr-FR"/>
              </w:rPr>
              <w:t xml:space="preserve">Competenţe dobândite la </w:t>
            </w:r>
            <w:r w:rsidRPr="008761E3">
              <w:rPr>
                <w:b/>
                <w:lang w:val="fr-FR"/>
              </w:rPr>
              <w:tab/>
            </w:r>
            <w:r>
              <w:rPr>
                <w:rFonts w:ascii="Wingdings" w:eastAsia="Wingdings" w:hAnsi="Wingdings" w:cs="Wingdings"/>
                <w:color w:val="3F3A38"/>
                <w:sz w:val="16"/>
              </w:rPr>
              <w:t></w:t>
            </w:r>
            <w:r w:rsidRPr="008761E3">
              <w:rPr>
                <w:color w:val="3F3A38"/>
                <w:sz w:val="16"/>
                <w:lang w:val="fr-FR"/>
              </w:rPr>
              <w:t xml:space="preserve"> </w:t>
            </w:r>
            <w:r w:rsidRPr="008761E3">
              <w:rPr>
                <w:b/>
                <w:lang w:val="fr-FR"/>
              </w:rPr>
              <w:t xml:space="preserve">locul de muncă </w:t>
            </w:r>
            <w:r w:rsidRPr="008761E3">
              <w:rPr>
                <w:lang w:val="fr-FR"/>
              </w:rPr>
              <w:t xml:space="preserve"> </w:t>
            </w:r>
          </w:p>
        </w:tc>
        <w:tc>
          <w:tcPr>
            <w:tcW w:w="5741" w:type="dxa"/>
            <w:tcBorders>
              <w:top w:val="nil"/>
              <w:left w:val="nil"/>
              <w:bottom w:val="nil"/>
              <w:right w:val="nil"/>
            </w:tcBorders>
          </w:tcPr>
          <w:p w:rsidR="0035633B" w:rsidRPr="008761E3" w:rsidRDefault="007250F6">
            <w:pPr>
              <w:spacing w:after="0" w:line="259" w:lineRule="auto"/>
              <w:ind w:left="409" w:firstLine="0"/>
              <w:jc w:val="left"/>
              <w:rPr>
                <w:lang w:val="fr-FR"/>
              </w:rPr>
            </w:pPr>
            <w:r w:rsidRPr="008761E3">
              <w:rPr>
                <w:lang w:val="fr-FR"/>
              </w:rPr>
              <w:t>Abilităţi de lucru cu aparatură diversificată</w:t>
            </w:r>
            <w:r w:rsidRPr="008761E3">
              <w:rPr>
                <w:color w:val="3F3A38"/>
                <w:sz w:val="16"/>
                <w:lang w:val="fr-FR"/>
              </w:rPr>
              <w:t xml:space="preserve"> </w:t>
            </w:r>
          </w:p>
        </w:tc>
      </w:tr>
    </w:tbl>
    <w:p w:rsidR="0035633B" w:rsidRPr="008761E3" w:rsidRDefault="007250F6">
      <w:pPr>
        <w:spacing w:after="30" w:line="259" w:lineRule="auto"/>
        <w:ind w:left="0" w:firstLine="0"/>
        <w:jc w:val="left"/>
        <w:rPr>
          <w:lang w:val="fr-FR"/>
        </w:rPr>
      </w:pPr>
      <w:r w:rsidRPr="008761E3">
        <w:rPr>
          <w:sz w:val="16"/>
          <w:lang w:val="fr-FR"/>
        </w:rPr>
        <w:t xml:space="preserve"> </w:t>
      </w:r>
    </w:p>
    <w:p w:rsidR="0035633B" w:rsidRDefault="007250F6">
      <w:pPr>
        <w:spacing w:after="26"/>
        <w:ind w:left="2636" w:right="333" w:hanging="2329"/>
      </w:pPr>
      <w:r>
        <w:rPr>
          <w:b/>
        </w:rPr>
        <w:t xml:space="preserve">Competenţe informatice </w:t>
      </w:r>
      <w:r>
        <w:t xml:space="preserve"> </w:t>
      </w:r>
      <w:r>
        <w:rPr>
          <w:rFonts w:ascii="Segoe UI" w:eastAsia="Segoe UI" w:hAnsi="Segoe UI" w:cs="Segoe UI"/>
        </w:rPr>
        <w:t>▪</w:t>
      </w:r>
      <w:r>
        <w:t xml:space="preserve">  Operator în sistemele: Microsoft Excel, Microsoft PowerPoint, Microsoft Visio,   Adobe Acrobat, software statistică. </w:t>
      </w:r>
    </w:p>
    <w:p w:rsidR="0035633B" w:rsidRDefault="007250F6">
      <w:pPr>
        <w:ind w:left="2531" w:right="333"/>
      </w:pPr>
      <w:r>
        <w:rPr>
          <w:rFonts w:ascii="Segoe UI" w:eastAsia="Segoe UI" w:hAnsi="Segoe UI" w:cs="Segoe UI"/>
          <w:color w:val="3F3A38"/>
        </w:rPr>
        <w:t>▪</w:t>
      </w:r>
      <w:r>
        <w:rPr>
          <w:color w:val="3F3A38"/>
        </w:rPr>
        <w:t xml:space="preserve"> </w:t>
      </w:r>
      <w:r>
        <w:t xml:space="preserve">Utilizare de echipamente multimedia </w:t>
      </w:r>
      <w:r>
        <w:rPr>
          <w:color w:val="3F3A38"/>
        </w:rPr>
        <w:t xml:space="preserve"> </w:t>
      </w:r>
    </w:p>
    <w:p w:rsidR="0035633B" w:rsidRDefault="007250F6">
      <w:pPr>
        <w:spacing w:after="0" w:line="259" w:lineRule="auto"/>
        <w:ind w:left="0" w:firstLine="0"/>
        <w:jc w:val="left"/>
      </w:pPr>
      <w:r>
        <w:rPr>
          <w:sz w:val="16"/>
        </w:rPr>
        <w:t xml:space="preserve"> </w:t>
      </w:r>
    </w:p>
    <w:p w:rsidR="0035633B" w:rsidRDefault="007250F6">
      <w:pPr>
        <w:spacing w:after="46" w:line="259" w:lineRule="auto"/>
        <w:ind w:left="0" w:firstLine="0"/>
        <w:jc w:val="left"/>
      </w:pPr>
      <w:r>
        <w:rPr>
          <w:sz w:val="16"/>
        </w:rPr>
        <w:t xml:space="preserve"> </w:t>
      </w:r>
    </w:p>
    <w:p w:rsidR="0035633B" w:rsidRDefault="007250F6">
      <w:pPr>
        <w:pStyle w:val="Heading1"/>
        <w:tabs>
          <w:tab w:val="center" w:pos="1376"/>
          <w:tab w:val="center" w:pos="6625"/>
        </w:tabs>
        <w:ind w:left="0" w:firstLine="0"/>
      </w:pPr>
      <w:r>
        <w:rPr>
          <w:rFonts w:ascii="Calibri" w:eastAsia="Calibri" w:hAnsi="Calibri" w:cs="Calibri"/>
          <w:b w:val="0"/>
          <w:sz w:val="22"/>
        </w:rPr>
        <w:tab/>
      </w:r>
      <w:r>
        <w:t>INFORMAΤII SUPLI</w:t>
      </w:r>
      <w:r>
        <w:t>MENTARE</w:t>
      </w:r>
      <w:r>
        <w:rPr>
          <w:b w:val="0"/>
          <w:color w:val="0E4194"/>
        </w:rPr>
        <w:t xml:space="preserve"> </w:t>
      </w:r>
      <w:r>
        <w:rPr>
          <w:b w:val="0"/>
          <w:color w:val="0E4194"/>
        </w:rPr>
        <w:tab/>
      </w:r>
      <w:r>
        <w:rPr>
          <w:noProof/>
        </w:rPr>
        <w:drawing>
          <wp:inline distT="0" distB="0" distL="0" distR="0">
            <wp:extent cx="4782185" cy="88265"/>
            <wp:effectExtent l="0" t="0" r="0" b="0"/>
            <wp:docPr id="467" name="Picture 467"/>
            <wp:cNvGraphicFramePr/>
            <a:graphic xmlns:a="http://schemas.openxmlformats.org/drawingml/2006/main">
              <a:graphicData uri="http://schemas.openxmlformats.org/drawingml/2006/picture">
                <pic:pic xmlns:pic="http://schemas.openxmlformats.org/drawingml/2006/picture">
                  <pic:nvPicPr>
                    <pic:cNvPr id="467" name="Picture 467"/>
                    <pic:cNvPicPr/>
                  </pic:nvPicPr>
                  <pic:blipFill>
                    <a:blip r:embed="rId8"/>
                    <a:stretch>
                      <a:fillRect/>
                    </a:stretch>
                  </pic:blipFill>
                  <pic:spPr>
                    <a:xfrm>
                      <a:off x="0" y="0"/>
                      <a:ext cx="4782185" cy="88265"/>
                    </a:xfrm>
                    <a:prstGeom prst="rect">
                      <a:avLst/>
                    </a:prstGeom>
                  </pic:spPr>
                </pic:pic>
              </a:graphicData>
            </a:graphic>
          </wp:inline>
        </w:drawing>
      </w:r>
      <w:r>
        <w:rPr>
          <w:b w:val="0"/>
          <w:sz w:val="13"/>
          <w:vertAlign w:val="subscript"/>
        </w:rPr>
        <w:t xml:space="preserve"> </w:t>
      </w:r>
    </w:p>
    <w:tbl>
      <w:tblPr>
        <w:tblStyle w:val="TableGrid"/>
        <w:tblW w:w="10293" w:type="dxa"/>
        <w:tblInd w:w="0" w:type="dxa"/>
        <w:tblCellMar>
          <w:top w:w="0" w:type="dxa"/>
          <w:left w:w="0" w:type="dxa"/>
          <w:bottom w:w="0" w:type="dxa"/>
          <w:right w:w="0" w:type="dxa"/>
        </w:tblCellMar>
        <w:tblLook w:val="04A0" w:firstRow="1" w:lastRow="0" w:firstColumn="1" w:lastColumn="0" w:noHBand="0" w:noVBand="1"/>
      </w:tblPr>
      <w:tblGrid>
        <w:gridCol w:w="2204"/>
        <w:gridCol w:w="350"/>
        <w:gridCol w:w="7739"/>
      </w:tblGrid>
      <w:tr w:rsidR="0035633B">
        <w:trPr>
          <w:trHeight w:val="185"/>
        </w:trPr>
        <w:tc>
          <w:tcPr>
            <w:tcW w:w="2204" w:type="dxa"/>
            <w:tcBorders>
              <w:top w:val="nil"/>
              <w:left w:val="nil"/>
              <w:bottom w:val="nil"/>
              <w:right w:val="nil"/>
            </w:tcBorders>
          </w:tcPr>
          <w:p w:rsidR="0035633B" w:rsidRDefault="007250F6">
            <w:pPr>
              <w:spacing w:after="0" w:line="259" w:lineRule="auto"/>
              <w:ind w:left="0" w:firstLine="0"/>
              <w:jc w:val="left"/>
            </w:pPr>
            <w:r>
              <w:rPr>
                <w:sz w:val="16"/>
              </w:rPr>
              <w:t xml:space="preserve"> </w:t>
            </w:r>
          </w:p>
        </w:tc>
        <w:tc>
          <w:tcPr>
            <w:tcW w:w="350" w:type="dxa"/>
            <w:tcBorders>
              <w:top w:val="nil"/>
              <w:left w:val="nil"/>
              <w:bottom w:val="nil"/>
              <w:right w:val="nil"/>
            </w:tcBorders>
          </w:tcPr>
          <w:p w:rsidR="0035633B" w:rsidRDefault="0035633B">
            <w:pPr>
              <w:spacing w:after="160" w:line="259" w:lineRule="auto"/>
              <w:ind w:left="0" w:firstLine="0"/>
              <w:jc w:val="left"/>
            </w:pPr>
          </w:p>
        </w:tc>
        <w:tc>
          <w:tcPr>
            <w:tcW w:w="7738" w:type="dxa"/>
            <w:tcBorders>
              <w:top w:val="nil"/>
              <w:left w:val="nil"/>
              <w:bottom w:val="nil"/>
              <w:right w:val="nil"/>
            </w:tcBorders>
          </w:tcPr>
          <w:p w:rsidR="0035633B" w:rsidRDefault="0035633B">
            <w:pPr>
              <w:spacing w:after="160" w:line="259" w:lineRule="auto"/>
              <w:ind w:left="0" w:firstLine="0"/>
              <w:jc w:val="left"/>
            </w:pPr>
          </w:p>
        </w:tc>
      </w:tr>
      <w:tr w:rsidR="0035633B">
        <w:trPr>
          <w:trHeight w:val="721"/>
        </w:trPr>
        <w:tc>
          <w:tcPr>
            <w:tcW w:w="2204" w:type="dxa"/>
            <w:tcBorders>
              <w:top w:val="nil"/>
              <w:left w:val="nil"/>
              <w:bottom w:val="nil"/>
              <w:right w:val="nil"/>
            </w:tcBorders>
          </w:tcPr>
          <w:p w:rsidR="0035633B" w:rsidRDefault="007250F6">
            <w:pPr>
              <w:spacing w:after="4" w:line="259" w:lineRule="auto"/>
              <w:ind w:left="185" w:firstLine="0"/>
              <w:jc w:val="center"/>
            </w:pPr>
            <w:r>
              <w:rPr>
                <w:b/>
              </w:rPr>
              <w:t>Publicaţii</w:t>
            </w:r>
            <w:r>
              <w:t xml:space="preserve"> </w:t>
            </w:r>
          </w:p>
          <w:p w:rsidR="0035633B" w:rsidRDefault="007250F6">
            <w:pPr>
              <w:spacing w:after="0" w:line="259" w:lineRule="auto"/>
              <w:ind w:left="968" w:firstLine="0"/>
              <w:jc w:val="center"/>
            </w:pPr>
            <w:r>
              <w:t xml:space="preserve"> </w:t>
            </w:r>
          </w:p>
        </w:tc>
        <w:tc>
          <w:tcPr>
            <w:tcW w:w="350" w:type="dxa"/>
            <w:tcBorders>
              <w:top w:val="nil"/>
              <w:left w:val="nil"/>
              <w:bottom w:val="nil"/>
              <w:right w:val="nil"/>
            </w:tcBorders>
          </w:tcPr>
          <w:p w:rsidR="0035633B" w:rsidRDefault="007250F6">
            <w:pPr>
              <w:spacing w:after="0" w:line="259" w:lineRule="auto"/>
              <w:ind w:left="0" w:firstLine="0"/>
              <w:jc w:val="left"/>
            </w:pPr>
            <w:r>
              <w:rPr>
                <w:sz w:val="20"/>
              </w:rPr>
              <w:t xml:space="preserve">1. </w:t>
            </w:r>
          </w:p>
        </w:tc>
        <w:tc>
          <w:tcPr>
            <w:tcW w:w="7738" w:type="dxa"/>
            <w:tcBorders>
              <w:top w:val="nil"/>
              <w:left w:val="nil"/>
              <w:bottom w:val="nil"/>
              <w:right w:val="nil"/>
            </w:tcBorders>
          </w:tcPr>
          <w:p w:rsidR="0035633B" w:rsidRDefault="007250F6">
            <w:pPr>
              <w:spacing w:after="0" w:line="259" w:lineRule="auto"/>
              <w:ind w:left="10" w:right="201"/>
            </w:pPr>
            <w:r>
              <w:rPr>
                <w:b/>
                <w:sz w:val="20"/>
              </w:rPr>
              <w:t>CS Vlad</w:t>
            </w:r>
            <w:r>
              <w:rPr>
                <w:sz w:val="20"/>
              </w:rPr>
              <w:t xml:space="preserve">,  DC  Vlad,  R Popescu,  VM Boruga, SL Istrate,  C Flangea,  B Barac,  I Malita,  S Sipos,   F Baderca. Oral lichen planus – case report. ROMANIAN JOURNAL OF MORPHOLOGY &amp; EMBRIOLOGY, 2020, 61, 2, 2066-8279. </w:t>
            </w:r>
          </w:p>
        </w:tc>
      </w:tr>
      <w:tr w:rsidR="0035633B">
        <w:trPr>
          <w:trHeight w:val="715"/>
        </w:trPr>
        <w:tc>
          <w:tcPr>
            <w:tcW w:w="2204" w:type="dxa"/>
            <w:tcBorders>
              <w:top w:val="nil"/>
              <w:left w:val="nil"/>
              <w:bottom w:val="nil"/>
              <w:right w:val="nil"/>
            </w:tcBorders>
          </w:tcPr>
          <w:p w:rsidR="0035633B" w:rsidRDefault="0035633B">
            <w:pPr>
              <w:spacing w:after="160" w:line="259" w:lineRule="auto"/>
              <w:ind w:left="0" w:firstLine="0"/>
              <w:jc w:val="left"/>
            </w:pPr>
          </w:p>
        </w:tc>
        <w:tc>
          <w:tcPr>
            <w:tcW w:w="350" w:type="dxa"/>
            <w:tcBorders>
              <w:top w:val="nil"/>
              <w:left w:val="nil"/>
              <w:bottom w:val="nil"/>
              <w:right w:val="nil"/>
            </w:tcBorders>
          </w:tcPr>
          <w:p w:rsidR="0035633B" w:rsidRDefault="007250F6">
            <w:pPr>
              <w:spacing w:after="0" w:line="259" w:lineRule="auto"/>
              <w:ind w:left="0" w:firstLine="0"/>
              <w:jc w:val="left"/>
            </w:pPr>
            <w:r>
              <w:rPr>
                <w:sz w:val="20"/>
              </w:rPr>
              <w:t xml:space="preserve">2. </w:t>
            </w:r>
          </w:p>
        </w:tc>
        <w:tc>
          <w:tcPr>
            <w:tcW w:w="7738" w:type="dxa"/>
            <w:tcBorders>
              <w:top w:val="nil"/>
              <w:left w:val="nil"/>
              <w:bottom w:val="nil"/>
              <w:right w:val="nil"/>
            </w:tcBorders>
          </w:tcPr>
          <w:p w:rsidR="0035633B" w:rsidRDefault="007250F6">
            <w:pPr>
              <w:spacing w:after="0" w:line="259" w:lineRule="auto"/>
              <w:ind w:left="10" w:right="97"/>
            </w:pPr>
            <w:r>
              <w:rPr>
                <w:sz w:val="20"/>
              </w:rPr>
              <w:t xml:space="preserve">AE Moatar, </w:t>
            </w:r>
            <w:r>
              <w:rPr>
                <w:b/>
                <w:sz w:val="20"/>
              </w:rPr>
              <w:t xml:space="preserve"> CS Vlad</w:t>
            </w:r>
            <w:r>
              <w:rPr>
                <w:sz w:val="20"/>
              </w:rPr>
              <w:t>,  DC  Vlad,  DM Verdes, MN Filimon, O Bloju, F Borcan, CA Dehelean, V Dumitrascu. Evaluation of antiproliferative potential of Myrmecodia pendans and its activity on IL-8 secretion in colon cancer cells. FARMACIA 2020, 68(4): 1083-1090</w:t>
            </w:r>
            <w:r>
              <w:rPr>
                <w:sz w:val="20"/>
              </w:rPr>
              <w:t xml:space="preserve">. </w:t>
            </w:r>
          </w:p>
        </w:tc>
      </w:tr>
      <w:tr w:rsidR="0035633B">
        <w:trPr>
          <w:trHeight w:val="951"/>
        </w:trPr>
        <w:tc>
          <w:tcPr>
            <w:tcW w:w="2204" w:type="dxa"/>
            <w:tcBorders>
              <w:top w:val="nil"/>
              <w:left w:val="nil"/>
              <w:bottom w:val="nil"/>
              <w:right w:val="nil"/>
            </w:tcBorders>
          </w:tcPr>
          <w:p w:rsidR="0035633B" w:rsidRDefault="0035633B">
            <w:pPr>
              <w:spacing w:after="160" w:line="259" w:lineRule="auto"/>
              <w:ind w:left="0" w:firstLine="0"/>
              <w:jc w:val="left"/>
            </w:pPr>
          </w:p>
        </w:tc>
        <w:tc>
          <w:tcPr>
            <w:tcW w:w="350" w:type="dxa"/>
            <w:tcBorders>
              <w:top w:val="nil"/>
              <w:left w:val="nil"/>
              <w:bottom w:val="nil"/>
              <w:right w:val="nil"/>
            </w:tcBorders>
          </w:tcPr>
          <w:p w:rsidR="0035633B" w:rsidRDefault="007250F6">
            <w:pPr>
              <w:spacing w:after="0" w:line="259" w:lineRule="auto"/>
              <w:ind w:left="0" w:firstLine="0"/>
              <w:jc w:val="left"/>
            </w:pPr>
            <w:r>
              <w:rPr>
                <w:sz w:val="20"/>
              </w:rPr>
              <w:t xml:space="preserve">3. </w:t>
            </w:r>
          </w:p>
        </w:tc>
        <w:tc>
          <w:tcPr>
            <w:tcW w:w="7738" w:type="dxa"/>
            <w:tcBorders>
              <w:top w:val="nil"/>
              <w:left w:val="nil"/>
              <w:bottom w:val="nil"/>
              <w:right w:val="nil"/>
            </w:tcBorders>
          </w:tcPr>
          <w:p w:rsidR="0035633B" w:rsidRDefault="007250F6">
            <w:pPr>
              <w:spacing w:after="0" w:line="259" w:lineRule="auto"/>
              <w:ind w:left="10"/>
              <w:jc w:val="left"/>
            </w:pPr>
            <w:r>
              <w:rPr>
                <w:sz w:val="20"/>
              </w:rPr>
              <w:t xml:space="preserve">Dan Alin Brebu, </w:t>
            </w:r>
            <w:r>
              <w:rPr>
                <w:b/>
                <w:sz w:val="20"/>
              </w:rPr>
              <w:t>Cristian Vlad</w:t>
            </w:r>
            <w:r>
              <w:rPr>
                <w:sz w:val="20"/>
              </w:rPr>
              <w:t>, Cristi Tarta, Amadeus Dobrescu, Iuliana Mihail, Cristian Nica, Lazar Fulger, Ciprian Duta. The correlation between specific biochemical parameters, radiological data and clinical signs for practicing laparoscopic cholecystectomy in the first 24 hours for</w:t>
            </w:r>
            <w:r>
              <w:rPr>
                <w:sz w:val="20"/>
              </w:rPr>
              <w:t xml:space="preserve"> acute cholecystitis. How safe it is? REV.CHIM., 2019, 70, No. 5, 1746-1749. </w:t>
            </w:r>
          </w:p>
        </w:tc>
      </w:tr>
      <w:tr w:rsidR="0035633B">
        <w:trPr>
          <w:trHeight w:val="946"/>
        </w:trPr>
        <w:tc>
          <w:tcPr>
            <w:tcW w:w="2204" w:type="dxa"/>
            <w:tcBorders>
              <w:top w:val="nil"/>
              <w:left w:val="nil"/>
              <w:bottom w:val="nil"/>
              <w:right w:val="nil"/>
            </w:tcBorders>
          </w:tcPr>
          <w:p w:rsidR="0035633B" w:rsidRDefault="0035633B">
            <w:pPr>
              <w:spacing w:after="160" w:line="259" w:lineRule="auto"/>
              <w:ind w:left="0" w:firstLine="0"/>
              <w:jc w:val="left"/>
            </w:pPr>
          </w:p>
        </w:tc>
        <w:tc>
          <w:tcPr>
            <w:tcW w:w="350" w:type="dxa"/>
            <w:tcBorders>
              <w:top w:val="nil"/>
              <w:left w:val="nil"/>
              <w:bottom w:val="nil"/>
              <w:right w:val="nil"/>
            </w:tcBorders>
          </w:tcPr>
          <w:p w:rsidR="0035633B" w:rsidRDefault="007250F6">
            <w:pPr>
              <w:spacing w:after="0" w:line="259" w:lineRule="auto"/>
              <w:ind w:left="0" w:firstLine="0"/>
              <w:jc w:val="left"/>
            </w:pPr>
            <w:r>
              <w:rPr>
                <w:sz w:val="20"/>
              </w:rPr>
              <w:t xml:space="preserve">4. </w:t>
            </w:r>
          </w:p>
        </w:tc>
        <w:tc>
          <w:tcPr>
            <w:tcW w:w="7738" w:type="dxa"/>
            <w:tcBorders>
              <w:top w:val="nil"/>
              <w:left w:val="nil"/>
              <w:bottom w:val="nil"/>
              <w:right w:val="nil"/>
            </w:tcBorders>
          </w:tcPr>
          <w:p w:rsidR="0035633B" w:rsidRDefault="007250F6">
            <w:pPr>
              <w:spacing w:after="0" w:line="259" w:lineRule="auto"/>
              <w:ind w:left="0" w:firstLine="0"/>
              <w:jc w:val="left"/>
            </w:pPr>
            <w:r>
              <w:rPr>
                <w:b/>
                <w:sz w:val="20"/>
              </w:rPr>
              <w:t>Cristian Sebastian Vlad</w:t>
            </w:r>
            <w:r>
              <w:rPr>
                <w:sz w:val="20"/>
              </w:rPr>
              <w:t>,</w:t>
            </w:r>
            <w:r>
              <w:rPr>
                <w:b/>
                <w:sz w:val="20"/>
              </w:rPr>
              <w:t xml:space="preserve"> </w:t>
            </w:r>
            <w:r>
              <w:rPr>
                <w:sz w:val="20"/>
              </w:rPr>
              <w:t xml:space="preserve">Victor Dumitrașcu, Daliborca Cristina Vlad, Adinela Cimporescu, </w:t>
            </w:r>
          </w:p>
          <w:p w:rsidR="0035633B" w:rsidRDefault="007250F6">
            <w:pPr>
              <w:spacing w:after="0" w:line="259" w:lineRule="auto"/>
              <w:ind w:left="10" w:right="195" w:firstLine="0"/>
            </w:pPr>
            <w:r>
              <w:rPr>
                <w:sz w:val="20"/>
              </w:rPr>
              <w:t>Roxana Popescu, Corina Flangea, Adelina Cheveresan, Simona Sipos, Beatrice Barac, Ioana Malita. Effects of materials based on acrylic resines on inflammatory markers IL8 and TGF β1 in gingival and crevicular fluid. Materiale plastice, 2018, 55, no.1, 111 –</w:t>
            </w:r>
            <w:r>
              <w:rPr>
                <w:sz w:val="20"/>
              </w:rPr>
              <w:t xml:space="preserve"> 114. </w:t>
            </w:r>
          </w:p>
        </w:tc>
      </w:tr>
      <w:tr w:rsidR="0035633B">
        <w:trPr>
          <w:trHeight w:val="1181"/>
        </w:trPr>
        <w:tc>
          <w:tcPr>
            <w:tcW w:w="2204" w:type="dxa"/>
            <w:tcBorders>
              <w:top w:val="nil"/>
              <w:left w:val="nil"/>
              <w:bottom w:val="nil"/>
              <w:right w:val="nil"/>
            </w:tcBorders>
          </w:tcPr>
          <w:p w:rsidR="0035633B" w:rsidRDefault="0035633B">
            <w:pPr>
              <w:spacing w:after="160" w:line="259" w:lineRule="auto"/>
              <w:ind w:left="0" w:firstLine="0"/>
              <w:jc w:val="left"/>
            </w:pPr>
          </w:p>
        </w:tc>
        <w:tc>
          <w:tcPr>
            <w:tcW w:w="350" w:type="dxa"/>
            <w:tcBorders>
              <w:top w:val="nil"/>
              <w:left w:val="nil"/>
              <w:bottom w:val="nil"/>
              <w:right w:val="nil"/>
            </w:tcBorders>
          </w:tcPr>
          <w:p w:rsidR="0035633B" w:rsidRDefault="007250F6">
            <w:pPr>
              <w:spacing w:after="0" w:line="259" w:lineRule="auto"/>
              <w:ind w:left="0" w:firstLine="0"/>
              <w:jc w:val="left"/>
            </w:pPr>
            <w:r>
              <w:rPr>
                <w:sz w:val="20"/>
              </w:rPr>
              <w:t xml:space="preserve">5. </w:t>
            </w:r>
          </w:p>
        </w:tc>
        <w:tc>
          <w:tcPr>
            <w:tcW w:w="7738" w:type="dxa"/>
            <w:tcBorders>
              <w:top w:val="nil"/>
              <w:left w:val="nil"/>
              <w:bottom w:val="nil"/>
              <w:right w:val="nil"/>
            </w:tcBorders>
          </w:tcPr>
          <w:p w:rsidR="0035633B" w:rsidRDefault="007250F6">
            <w:pPr>
              <w:spacing w:after="0" w:line="241" w:lineRule="auto"/>
              <w:ind w:left="10"/>
              <w:jc w:val="left"/>
            </w:pPr>
            <w:r>
              <w:rPr>
                <w:b/>
                <w:sz w:val="20"/>
              </w:rPr>
              <w:t>Cristian Sebastian Vlad</w:t>
            </w:r>
            <w:r>
              <w:rPr>
                <w:sz w:val="20"/>
              </w:rPr>
              <w:t>, Victor Dumitrașcu, Daliborca Cristina Vlad</w:t>
            </w:r>
            <w:r>
              <w:rPr>
                <w:b/>
                <w:sz w:val="20"/>
              </w:rPr>
              <w:t>,</w:t>
            </w:r>
            <w:r>
              <w:rPr>
                <w:sz w:val="20"/>
              </w:rPr>
              <w:t xml:space="preserve"> Adinela Cimporescu, Roxana Popescu, Liana Dehelean, Iosif Marincu, Ioana Mihaela Cîtu, Dan V. Poenaru. Fast and Simple Method for Simultaneous Detection and Quantification of</w:t>
            </w:r>
            <w:r>
              <w:rPr>
                <w:sz w:val="20"/>
              </w:rPr>
              <w:t xml:space="preserve"> Diazepam and </w:t>
            </w:r>
          </w:p>
          <w:p w:rsidR="0035633B" w:rsidRDefault="007250F6">
            <w:pPr>
              <w:spacing w:after="0" w:line="259" w:lineRule="auto"/>
              <w:ind w:left="10" w:firstLine="0"/>
            </w:pPr>
            <w:r>
              <w:rPr>
                <w:sz w:val="20"/>
              </w:rPr>
              <w:t xml:space="preserve">Desmethyldiazepam in Plasma Samples in Psychiatric Patients by GC-MS-FID. REV.CHIM., 2017, 68, No. 3, 530-533. </w:t>
            </w:r>
          </w:p>
        </w:tc>
      </w:tr>
      <w:tr w:rsidR="0035633B">
        <w:trPr>
          <w:trHeight w:val="670"/>
        </w:trPr>
        <w:tc>
          <w:tcPr>
            <w:tcW w:w="2204" w:type="dxa"/>
            <w:tcBorders>
              <w:top w:val="nil"/>
              <w:left w:val="nil"/>
              <w:bottom w:val="nil"/>
              <w:right w:val="nil"/>
            </w:tcBorders>
          </w:tcPr>
          <w:p w:rsidR="0035633B" w:rsidRDefault="0035633B">
            <w:pPr>
              <w:spacing w:after="160" w:line="259" w:lineRule="auto"/>
              <w:ind w:left="0" w:firstLine="0"/>
              <w:jc w:val="left"/>
            </w:pPr>
          </w:p>
        </w:tc>
        <w:tc>
          <w:tcPr>
            <w:tcW w:w="350" w:type="dxa"/>
            <w:tcBorders>
              <w:top w:val="nil"/>
              <w:left w:val="nil"/>
              <w:bottom w:val="nil"/>
              <w:right w:val="nil"/>
            </w:tcBorders>
          </w:tcPr>
          <w:p w:rsidR="0035633B" w:rsidRDefault="007250F6">
            <w:pPr>
              <w:spacing w:after="0" w:line="259" w:lineRule="auto"/>
              <w:ind w:left="0" w:firstLine="0"/>
              <w:jc w:val="left"/>
            </w:pPr>
            <w:r>
              <w:rPr>
                <w:sz w:val="20"/>
              </w:rPr>
              <w:t xml:space="preserve">6. </w:t>
            </w:r>
          </w:p>
        </w:tc>
        <w:tc>
          <w:tcPr>
            <w:tcW w:w="7738" w:type="dxa"/>
            <w:tcBorders>
              <w:top w:val="nil"/>
              <w:left w:val="nil"/>
              <w:bottom w:val="nil"/>
              <w:right w:val="nil"/>
            </w:tcBorders>
          </w:tcPr>
          <w:p w:rsidR="0035633B" w:rsidRDefault="007250F6">
            <w:pPr>
              <w:spacing w:after="0" w:line="259" w:lineRule="auto"/>
              <w:ind w:left="10" w:right="40"/>
            </w:pPr>
            <w:r>
              <w:t xml:space="preserve">Daliborca C. Vlad, Victor Dumitrascu, Roxana Popescu,  Adinela Cimporescu, </w:t>
            </w:r>
            <w:r>
              <w:rPr>
                <w:b/>
              </w:rPr>
              <w:t>Cristian S. Vlad</w:t>
            </w:r>
            <w:r>
              <w:t xml:space="preserve">, Bogdan Corneliu Andor </w:t>
            </w:r>
            <w:r>
              <w:t>Comparison of plastic and glass collection and pipetting of whole blood for Cocaine assay by GC-MS,MATERIALE PLASTICE, 2016, vol. 53, 1, 144 – 146</w:t>
            </w:r>
            <w:r>
              <w:rPr>
                <w:sz w:val="20"/>
              </w:rPr>
              <w:t xml:space="preserve"> </w:t>
            </w:r>
          </w:p>
        </w:tc>
      </w:tr>
      <w:tr w:rsidR="0035633B">
        <w:trPr>
          <w:trHeight w:val="874"/>
        </w:trPr>
        <w:tc>
          <w:tcPr>
            <w:tcW w:w="2204" w:type="dxa"/>
            <w:tcBorders>
              <w:top w:val="nil"/>
              <w:left w:val="nil"/>
              <w:bottom w:val="nil"/>
              <w:right w:val="nil"/>
            </w:tcBorders>
          </w:tcPr>
          <w:p w:rsidR="0035633B" w:rsidRDefault="0035633B">
            <w:pPr>
              <w:spacing w:after="160" w:line="259" w:lineRule="auto"/>
              <w:ind w:left="0" w:firstLine="0"/>
              <w:jc w:val="left"/>
            </w:pPr>
          </w:p>
        </w:tc>
        <w:tc>
          <w:tcPr>
            <w:tcW w:w="350" w:type="dxa"/>
            <w:tcBorders>
              <w:top w:val="nil"/>
              <w:left w:val="nil"/>
              <w:bottom w:val="nil"/>
              <w:right w:val="nil"/>
            </w:tcBorders>
          </w:tcPr>
          <w:p w:rsidR="0035633B" w:rsidRDefault="007250F6">
            <w:pPr>
              <w:spacing w:after="0" w:line="259" w:lineRule="auto"/>
              <w:ind w:left="0" w:firstLine="0"/>
              <w:jc w:val="left"/>
            </w:pPr>
            <w:r>
              <w:rPr>
                <w:sz w:val="20"/>
              </w:rPr>
              <w:t xml:space="preserve">7. </w:t>
            </w:r>
          </w:p>
        </w:tc>
        <w:tc>
          <w:tcPr>
            <w:tcW w:w="7738" w:type="dxa"/>
            <w:tcBorders>
              <w:top w:val="nil"/>
              <w:left w:val="nil"/>
              <w:bottom w:val="nil"/>
              <w:right w:val="nil"/>
            </w:tcBorders>
          </w:tcPr>
          <w:p w:rsidR="0035633B" w:rsidRDefault="007250F6">
            <w:pPr>
              <w:spacing w:after="0" w:line="259" w:lineRule="auto"/>
              <w:ind w:left="0" w:firstLine="0"/>
              <w:jc w:val="left"/>
            </w:pPr>
            <w:r>
              <w:t xml:space="preserve">Daliborca C. Vlad, Roxana Popescu, Victor Dumitrascu, Adinela Cimporescu, </w:t>
            </w:r>
            <w:r>
              <w:rPr>
                <w:b/>
              </w:rPr>
              <w:t>Cristian S. Vlad</w:t>
            </w:r>
            <w:r>
              <w:t xml:space="preserve">, Csaba </w:t>
            </w:r>
          </w:p>
          <w:p w:rsidR="0035633B" w:rsidRDefault="007250F6">
            <w:pPr>
              <w:spacing w:after="0" w:line="259" w:lineRule="auto"/>
              <w:ind w:left="10" w:firstLine="0"/>
              <w:jc w:val="left"/>
            </w:pPr>
            <w:r>
              <w:t xml:space="preserve">Vagvolgyi, Judith Krisch, Cristina Dehelean, Florin G. Horhat </w:t>
            </w:r>
            <w:r>
              <w:tab/>
              <w:t>Phytocomponents identification in Mistletoe (Viscum Album) young leaves and branches, by GC-MS and antiproliferative effect on HEPG2 and MCF7 cell lines, FARMACIA, 2016, vol. 64, 1, 82 – 87</w:t>
            </w:r>
            <w:r>
              <w:rPr>
                <w:sz w:val="20"/>
              </w:rPr>
              <w:t xml:space="preserve"> </w:t>
            </w:r>
          </w:p>
        </w:tc>
      </w:tr>
      <w:tr w:rsidR="0035633B">
        <w:trPr>
          <w:trHeight w:val="874"/>
        </w:trPr>
        <w:tc>
          <w:tcPr>
            <w:tcW w:w="2204" w:type="dxa"/>
            <w:tcBorders>
              <w:top w:val="nil"/>
              <w:left w:val="nil"/>
              <w:bottom w:val="nil"/>
              <w:right w:val="nil"/>
            </w:tcBorders>
          </w:tcPr>
          <w:p w:rsidR="0035633B" w:rsidRDefault="0035633B">
            <w:pPr>
              <w:spacing w:after="160" w:line="259" w:lineRule="auto"/>
              <w:ind w:left="0" w:firstLine="0"/>
              <w:jc w:val="left"/>
            </w:pPr>
          </w:p>
        </w:tc>
        <w:tc>
          <w:tcPr>
            <w:tcW w:w="350" w:type="dxa"/>
            <w:tcBorders>
              <w:top w:val="nil"/>
              <w:left w:val="nil"/>
              <w:bottom w:val="nil"/>
              <w:right w:val="nil"/>
            </w:tcBorders>
          </w:tcPr>
          <w:p w:rsidR="0035633B" w:rsidRDefault="007250F6">
            <w:pPr>
              <w:spacing w:after="0" w:line="259" w:lineRule="auto"/>
              <w:ind w:left="0" w:firstLine="0"/>
              <w:jc w:val="left"/>
            </w:pPr>
            <w:r>
              <w:rPr>
                <w:sz w:val="20"/>
              </w:rPr>
              <w:t xml:space="preserve">8. </w:t>
            </w:r>
          </w:p>
        </w:tc>
        <w:tc>
          <w:tcPr>
            <w:tcW w:w="7738" w:type="dxa"/>
            <w:tcBorders>
              <w:top w:val="nil"/>
              <w:left w:val="nil"/>
              <w:bottom w:val="nil"/>
              <w:right w:val="nil"/>
            </w:tcBorders>
          </w:tcPr>
          <w:p w:rsidR="0035633B" w:rsidRDefault="007250F6">
            <w:pPr>
              <w:spacing w:after="0" w:line="259" w:lineRule="auto"/>
              <w:ind w:left="10"/>
              <w:jc w:val="left"/>
            </w:pPr>
            <w:r>
              <w:t xml:space="preserve">Roxana Popescu, Vlad C. Daliborca, Adinela Cimporescu, </w:t>
            </w:r>
            <w:r>
              <w:rPr>
                <w:b/>
              </w:rPr>
              <w:t>Cristian S. Vlad</w:t>
            </w:r>
            <w:r>
              <w:t xml:space="preserve">, Doina Verdes, Dorica Botau, Marioara Nicoleta filimon, Ivan Pauliuc, Cosmin Citu, Victor Dumitrascu </w:t>
            </w:r>
            <w:r>
              <w:tab/>
              <w:t>Chemical properties and in vitro antitumor effects of Momordica Charantia extr</w:t>
            </w:r>
            <w:r>
              <w:t xml:space="preserve">acts in defferent solvents </w:t>
            </w:r>
            <w:r>
              <w:tab/>
              <w:t>REV. CHIM ,  2016,  67, No. 1, 69-73</w:t>
            </w:r>
            <w:r>
              <w:rPr>
                <w:sz w:val="20"/>
              </w:rPr>
              <w:t xml:space="preserve"> </w:t>
            </w:r>
          </w:p>
        </w:tc>
      </w:tr>
      <w:tr w:rsidR="0035633B">
        <w:trPr>
          <w:trHeight w:val="237"/>
        </w:trPr>
        <w:tc>
          <w:tcPr>
            <w:tcW w:w="2204" w:type="dxa"/>
            <w:tcBorders>
              <w:top w:val="nil"/>
              <w:left w:val="nil"/>
              <w:bottom w:val="nil"/>
              <w:right w:val="nil"/>
            </w:tcBorders>
          </w:tcPr>
          <w:p w:rsidR="0035633B" w:rsidRDefault="0035633B">
            <w:pPr>
              <w:spacing w:after="160" w:line="259" w:lineRule="auto"/>
              <w:ind w:left="0" w:firstLine="0"/>
              <w:jc w:val="left"/>
            </w:pPr>
          </w:p>
        </w:tc>
        <w:tc>
          <w:tcPr>
            <w:tcW w:w="350" w:type="dxa"/>
            <w:tcBorders>
              <w:top w:val="nil"/>
              <w:left w:val="nil"/>
              <w:bottom w:val="nil"/>
              <w:right w:val="nil"/>
            </w:tcBorders>
          </w:tcPr>
          <w:p w:rsidR="0035633B" w:rsidRDefault="007250F6">
            <w:pPr>
              <w:spacing w:after="0" w:line="259" w:lineRule="auto"/>
              <w:ind w:left="0" w:firstLine="0"/>
              <w:jc w:val="left"/>
            </w:pPr>
            <w:r>
              <w:rPr>
                <w:sz w:val="20"/>
              </w:rPr>
              <w:t xml:space="preserve">9. </w:t>
            </w:r>
          </w:p>
        </w:tc>
        <w:tc>
          <w:tcPr>
            <w:tcW w:w="7738" w:type="dxa"/>
            <w:tcBorders>
              <w:top w:val="nil"/>
              <w:left w:val="nil"/>
              <w:bottom w:val="nil"/>
              <w:right w:val="nil"/>
            </w:tcBorders>
          </w:tcPr>
          <w:p w:rsidR="0035633B" w:rsidRDefault="007250F6">
            <w:pPr>
              <w:spacing w:after="0" w:line="259" w:lineRule="auto"/>
              <w:ind w:left="0" w:firstLine="0"/>
              <w:jc w:val="left"/>
            </w:pPr>
            <w:r>
              <w:t xml:space="preserve">Vlad C. Daliborca, Victor Dumitrascu, Roxana Popescu, Adinela Cimporescu, </w:t>
            </w:r>
            <w:r>
              <w:rPr>
                <w:b/>
              </w:rPr>
              <w:t>Cristian S. Vlad</w:t>
            </w:r>
            <w:r>
              <w:t xml:space="preserve">, Corina </w:t>
            </w:r>
          </w:p>
        </w:tc>
      </w:tr>
    </w:tbl>
    <w:p w:rsidR="0035633B" w:rsidRDefault="007250F6">
      <w:pPr>
        <w:ind w:left="2574" w:right="333"/>
      </w:pPr>
      <w:r>
        <w:t xml:space="preserve">Flangea, Daniela S. Grecu, Csaba Vagvolgyi, Tamas Papp, Florin Horhat  </w:t>
      </w:r>
      <w:r>
        <w:tab/>
      </w:r>
      <w:r>
        <w:t xml:space="preserve">Gas Cromatography - Mass Spectrometry evidences for new chemical insights of Momordica Charantia, REV. CHIM, 2015, </w:t>
      </w:r>
    </w:p>
    <w:p w:rsidR="0035633B" w:rsidRDefault="007250F6">
      <w:pPr>
        <w:ind w:left="2574" w:right="333"/>
      </w:pPr>
      <w:r>
        <w:t>66, No. 11,  1914-1920</w:t>
      </w:r>
      <w:r>
        <w:rPr>
          <w:sz w:val="20"/>
        </w:rPr>
        <w:t xml:space="preserve"> </w:t>
      </w:r>
    </w:p>
    <w:p w:rsidR="0035633B" w:rsidRDefault="007250F6">
      <w:pPr>
        <w:numPr>
          <w:ilvl w:val="0"/>
          <w:numId w:val="1"/>
        </w:numPr>
        <w:spacing w:after="43" w:line="239" w:lineRule="auto"/>
        <w:ind w:left="2539" w:right="423" w:hanging="350"/>
        <w:jc w:val="left"/>
      </w:pPr>
      <w:r>
        <w:rPr>
          <w:b/>
        </w:rPr>
        <w:t>Cristian Vlad</w:t>
      </w:r>
      <w:r>
        <w:t>, Daliborca Cristina Vlad, Adina Bucur, Roxana Popescu, Marioara Nicoleta Filimon, V. Dumitrascu. Prote</w:t>
      </w:r>
      <w:r>
        <w:t>ctive effect of Celecoxib on gingival leptin levels in patients with chronic periodontal disease. Medicine in evolution, vol. XX, no. 3, 2014, 495-498 ISSN 2065-376X</w:t>
      </w:r>
      <w:r>
        <w:rPr>
          <w:sz w:val="20"/>
        </w:rPr>
        <w:t xml:space="preserve"> </w:t>
      </w:r>
    </w:p>
    <w:p w:rsidR="0035633B" w:rsidRDefault="007250F6">
      <w:pPr>
        <w:numPr>
          <w:ilvl w:val="0"/>
          <w:numId w:val="1"/>
        </w:numPr>
        <w:spacing w:after="43" w:line="239" w:lineRule="auto"/>
        <w:ind w:left="2539" w:right="423" w:hanging="350"/>
        <w:jc w:val="left"/>
      </w:pPr>
      <w:r>
        <w:rPr>
          <w:b/>
        </w:rPr>
        <w:t>C.Vlad</w:t>
      </w:r>
      <w:r>
        <w:t xml:space="preserve">, Daliborca Cristina Vlad, Roxana Popescu, Adina Bucur, Marioara Nicoleta Filimon, </w:t>
      </w:r>
      <w:r>
        <w:t xml:space="preserve">V. Dumitrascu. Comparative study concerning two cyclooxigenase-2 inhibitors in chronic periodontitis of the elderly. </w:t>
      </w:r>
      <w:r>
        <w:tab/>
        <w:t>Annals of West University of Timisoara. Series of Chemistry 21 (2), 2012: 21-28.</w:t>
      </w:r>
      <w:r>
        <w:rPr>
          <w:sz w:val="20"/>
        </w:rPr>
        <w:t xml:space="preserve"> </w:t>
      </w:r>
    </w:p>
    <w:p w:rsidR="0035633B" w:rsidRDefault="007250F6">
      <w:pPr>
        <w:numPr>
          <w:ilvl w:val="0"/>
          <w:numId w:val="1"/>
        </w:numPr>
        <w:ind w:left="2539" w:right="423" w:hanging="350"/>
        <w:jc w:val="left"/>
      </w:pPr>
      <w:r>
        <w:rPr>
          <w:b/>
        </w:rPr>
        <w:t>C. Vlad</w:t>
      </w:r>
      <w:r>
        <w:t>, Daliborca Cristina Vlad, Adina Bucur, Roxana Po</w:t>
      </w:r>
      <w:r>
        <w:t>pescu, V. Dumitrascu. Beneficial effects of selective cyclooxigenase-2 inhibitor Etoricoxib in periodontitis. Annals of the Romanian Society for Cell Biology, vol. XVII, Issue 1, pg. 211 – 216, 2012. ISSN 2067-3019</w:t>
      </w:r>
      <w:r>
        <w:rPr>
          <w:sz w:val="20"/>
        </w:rPr>
        <w:t xml:space="preserve"> </w:t>
      </w:r>
    </w:p>
    <w:p w:rsidR="0035633B" w:rsidRDefault="007250F6">
      <w:pPr>
        <w:spacing w:after="0" w:line="259" w:lineRule="auto"/>
        <w:ind w:left="2564" w:firstLine="0"/>
        <w:jc w:val="left"/>
      </w:pPr>
      <w:r>
        <w:rPr>
          <w:color w:val="3F3A38"/>
        </w:rPr>
        <w:t xml:space="preserve"> </w:t>
      </w:r>
    </w:p>
    <w:tbl>
      <w:tblPr>
        <w:tblStyle w:val="TableGrid"/>
        <w:tblW w:w="10409" w:type="dxa"/>
        <w:tblInd w:w="0" w:type="dxa"/>
        <w:tblCellMar>
          <w:top w:w="0" w:type="dxa"/>
          <w:left w:w="0" w:type="dxa"/>
          <w:bottom w:w="0" w:type="dxa"/>
          <w:right w:w="0" w:type="dxa"/>
        </w:tblCellMar>
        <w:tblLook w:val="04A0" w:firstRow="1" w:lastRow="0" w:firstColumn="1" w:lastColumn="0" w:noHBand="0" w:noVBand="1"/>
      </w:tblPr>
      <w:tblGrid>
        <w:gridCol w:w="1844"/>
        <w:gridCol w:w="260"/>
        <w:gridCol w:w="451"/>
        <w:gridCol w:w="7854"/>
      </w:tblGrid>
      <w:tr w:rsidR="0035633B">
        <w:trPr>
          <w:trHeight w:val="8275"/>
        </w:trPr>
        <w:tc>
          <w:tcPr>
            <w:tcW w:w="1844" w:type="dxa"/>
            <w:tcBorders>
              <w:top w:val="nil"/>
              <w:left w:val="nil"/>
              <w:bottom w:val="nil"/>
              <w:right w:val="nil"/>
            </w:tcBorders>
          </w:tcPr>
          <w:p w:rsidR="0035633B" w:rsidRDefault="007250F6">
            <w:pPr>
              <w:spacing w:after="33" w:line="259" w:lineRule="auto"/>
              <w:ind w:left="0" w:right="233" w:firstLine="0"/>
              <w:jc w:val="right"/>
            </w:pPr>
            <w:r>
              <w:rPr>
                <w:b/>
              </w:rPr>
              <w:lastRenderedPageBreak/>
              <w:t xml:space="preserve"> </w:t>
            </w:r>
          </w:p>
          <w:p w:rsidR="0035633B" w:rsidRDefault="007250F6">
            <w:pPr>
              <w:spacing w:after="4" w:line="259" w:lineRule="auto"/>
              <w:ind w:left="0" w:right="276" w:firstLine="0"/>
              <w:jc w:val="right"/>
            </w:pPr>
            <w:r>
              <w:rPr>
                <w:b/>
              </w:rPr>
              <w:t xml:space="preserve">Cărți </w:t>
            </w:r>
          </w:p>
          <w:p w:rsidR="0035633B" w:rsidRDefault="007250F6">
            <w:pPr>
              <w:spacing w:after="4" w:line="259" w:lineRule="auto"/>
              <w:ind w:left="778" w:firstLine="0"/>
              <w:jc w:val="left"/>
            </w:pPr>
            <w:r>
              <w:rPr>
                <w:b/>
              </w:rPr>
              <w:t xml:space="preserve"> </w:t>
            </w:r>
          </w:p>
          <w:p w:rsidR="0035633B" w:rsidRDefault="007250F6">
            <w:pPr>
              <w:spacing w:after="5" w:line="258" w:lineRule="auto"/>
              <w:ind w:left="1561" w:right="233" w:firstLine="0"/>
            </w:pPr>
            <w:r>
              <w:rPr>
                <w:b/>
              </w:rPr>
              <w:t xml:space="preserve">  </w:t>
            </w:r>
          </w:p>
          <w:p w:rsidR="0035633B" w:rsidRDefault="007250F6">
            <w:pPr>
              <w:spacing w:after="4" w:line="259" w:lineRule="auto"/>
              <w:ind w:left="0" w:right="233" w:firstLine="0"/>
              <w:jc w:val="right"/>
            </w:pPr>
            <w:r>
              <w:rPr>
                <w:b/>
              </w:rPr>
              <w:t xml:space="preserve"> </w:t>
            </w:r>
          </w:p>
          <w:p w:rsidR="0035633B" w:rsidRDefault="007250F6">
            <w:pPr>
              <w:spacing w:after="4" w:line="259" w:lineRule="auto"/>
              <w:ind w:left="0" w:right="233" w:firstLine="0"/>
              <w:jc w:val="right"/>
            </w:pPr>
            <w:r>
              <w:rPr>
                <w:b/>
              </w:rPr>
              <w:t xml:space="preserve"> </w:t>
            </w:r>
          </w:p>
          <w:p w:rsidR="0035633B" w:rsidRDefault="007250F6">
            <w:pPr>
              <w:spacing w:after="4" w:line="259" w:lineRule="auto"/>
              <w:ind w:left="0" w:right="233" w:firstLine="0"/>
              <w:jc w:val="right"/>
            </w:pPr>
            <w:r>
              <w:rPr>
                <w:b/>
              </w:rPr>
              <w:t xml:space="preserve"> </w:t>
            </w:r>
          </w:p>
          <w:p w:rsidR="0035633B" w:rsidRDefault="007250F6">
            <w:pPr>
              <w:spacing w:after="4" w:line="259" w:lineRule="auto"/>
              <w:ind w:left="0" w:right="233" w:firstLine="0"/>
              <w:jc w:val="right"/>
            </w:pPr>
            <w:r>
              <w:rPr>
                <w:b/>
              </w:rPr>
              <w:t xml:space="preserve"> </w:t>
            </w:r>
          </w:p>
          <w:p w:rsidR="0035633B" w:rsidRDefault="007250F6">
            <w:pPr>
              <w:spacing w:after="4" w:line="259" w:lineRule="auto"/>
              <w:ind w:left="0" w:right="233" w:firstLine="0"/>
              <w:jc w:val="right"/>
            </w:pPr>
            <w:r>
              <w:rPr>
                <w:b/>
              </w:rPr>
              <w:t xml:space="preserve"> </w:t>
            </w:r>
          </w:p>
          <w:p w:rsidR="0035633B" w:rsidRDefault="007250F6">
            <w:pPr>
              <w:spacing w:after="4" w:line="259" w:lineRule="auto"/>
              <w:ind w:left="0" w:right="233" w:firstLine="0"/>
              <w:jc w:val="right"/>
            </w:pPr>
            <w:r>
              <w:rPr>
                <w:b/>
              </w:rPr>
              <w:t xml:space="preserve"> </w:t>
            </w:r>
          </w:p>
          <w:p w:rsidR="0035633B" w:rsidRDefault="007250F6">
            <w:pPr>
              <w:spacing w:after="4" w:line="259" w:lineRule="auto"/>
              <w:ind w:left="0" w:right="233" w:firstLine="0"/>
              <w:jc w:val="right"/>
            </w:pPr>
            <w:r>
              <w:rPr>
                <w:b/>
              </w:rPr>
              <w:t xml:space="preserve"> </w:t>
            </w:r>
          </w:p>
          <w:p w:rsidR="0035633B" w:rsidRDefault="007250F6">
            <w:pPr>
              <w:spacing w:after="4" w:line="259" w:lineRule="auto"/>
              <w:ind w:left="0" w:right="233" w:firstLine="0"/>
              <w:jc w:val="right"/>
            </w:pPr>
            <w:r>
              <w:rPr>
                <w:b/>
              </w:rPr>
              <w:t xml:space="preserve"> </w:t>
            </w:r>
          </w:p>
          <w:p w:rsidR="0035633B" w:rsidRDefault="007250F6">
            <w:pPr>
              <w:spacing w:after="4" w:line="259" w:lineRule="auto"/>
              <w:ind w:left="0" w:right="233" w:firstLine="0"/>
              <w:jc w:val="right"/>
            </w:pPr>
            <w:r>
              <w:rPr>
                <w:b/>
              </w:rPr>
              <w:t xml:space="preserve"> </w:t>
            </w:r>
          </w:p>
          <w:p w:rsidR="0035633B" w:rsidRDefault="007250F6">
            <w:pPr>
              <w:spacing w:after="5" w:line="258" w:lineRule="auto"/>
              <w:ind w:left="1561" w:right="233" w:firstLine="0"/>
            </w:pPr>
            <w:r>
              <w:rPr>
                <w:b/>
              </w:rPr>
              <w:t xml:space="preserve">  </w:t>
            </w:r>
          </w:p>
          <w:p w:rsidR="0035633B" w:rsidRDefault="007250F6">
            <w:pPr>
              <w:spacing w:after="4" w:line="259" w:lineRule="auto"/>
              <w:ind w:left="0" w:right="233" w:firstLine="0"/>
              <w:jc w:val="right"/>
            </w:pPr>
            <w:r>
              <w:rPr>
                <w:b/>
              </w:rPr>
              <w:t xml:space="preserve"> </w:t>
            </w:r>
          </w:p>
          <w:p w:rsidR="0035633B" w:rsidRDefault="007250F6">
            <w:pPr>
              <w:spacing w:after="4" w:line="259" w:lineRule="auto"/>
              <w:ind w:left="0" w:right="233" w:firstLine="0"/>
              <w:jc w:val="right"/>
            </w:pPr>
            <w:r>
              <w:rPr>
                <w:b/>
              </w:rPr>
              <w:t xml:space="preserve"> </w:t>
            </w:r>
          </w:p>
          <w:p w:rsidR="0035633B" w:rsidRDefault="007250F6">
            <w:pPr>
              <w:spacing w:after="4" w:line="259" w:lineRule="auto"/>
              <w:ind w:left="0" w:right="233" w:firstLine="0"/>
              <w:jc w:val="right"/>
            </w:pPr>
            <w:r>
              <w:rPr>
                <w:b/>
              </w:rPr>
              <w:t xml:space="preserve"> </w:t>
            </w:r>
          </w:p>
          <w:p w:rsidR="0035633B" w:rsidRDefault="007250F6">
            <w:pPr>
              <w:spacing w:after="4" w:line="259" w:lineRule="auto"/>
              <w:ind w:left="0" w:right="233" w:firstLine="0"/>
              <w:jc w:val="right"/>
            </w:pPr>
            <w:r>
              <w:rPr>
                <w:b/>
              </w:rPr>
              <w:t xml:space="preserve"> </w:t>
            </w:r>
          </w:p>
          <w:p w:rsidR="0035633B" w:rsidRDefault="007250F6">
            <w:pPr>
              <w:spacing w:after="4" w:line="259" w:lineRule="auto"/>
              <w:ind w:left="0" w:right="233" w:firstLine="0"/>
              <w:jc w:val="right"/>
            </w:pPr>
            <w:r>
              <w:rPr>
                <w:b/>
              </w:rPr>
              <w:t xml:space="preserve"> </w:t>
            </w:r>
          </w:p>
          <w:p w:rsidR="0035633B" w:rsidRDefault="007250F6">
            <w:pPr>
              <w:spacing w:after="4" w:line="259" w:lineRule="auto"/>
              <w:ind w:left="0" w:right="233" w:firstLine="0"/>
              <w:jc w:val="right"/>
            </w:pPr>
            <w:r>
              <w:rPr>
                <w:b/>
              </w:rPr>
              <w:t xml:space="preserve"> </w:t>
            </w:r>
          </w:p>
          <w:p w:rsidR="0035633B" w:rsidRDefault="007250F6">
            <w:pPr>
              <w:spacing w:after="4" w:line="259" w:lineRule="auto"/>
              <w:ind w:left="0" w:right="233" w:firstLine="0"/>
              <w:jc w:val="right"/>
            </w:pPr>
            <w:r>
              <w:rPr>
                <w:b/>
              </w:rPr>
              <w:t xml:space="preserve"> </w:t>
            </w:r>
          </w:p>
          <w:p w:rsidR="0035633B" w:rsidRDefault="007250F6">
            <w:pPr>
              <w:spacing w:after="4" w:line="259" w:lineRule="auto"/>
              <w:ind w:left="0" w:right="233" w:firstLine="0"/>
              <w:jc w:val="right"/>
            </w:pPr>
            <w:r>
              <w:rPr>
                <w:b/>
              </w:rPr>
              <w:t xml:space="preserve"> </w:t>
            </w:r>
          </w:p>
          <w:p w:rsidR="0035633B" w:rsidRDefault="007250F6">
            <w:pPr>
              <w:spacing w:after="4" w:line="259" w:lineRule="auto"/>
              <w:ind w:left="0" w:right="233" w:firstLine="0"/>
              <w:jc w:val="right"/>
            </w:pPr>
            <w:r>
              <w:rPr>
                <w:b/>
              </w:rPr>
              <w:t xml:space="preserve"> </w:t>
            </w:r>
          </w:p>
          <w:p w:rsidR="0035633B" w:rsidRDefault="007250F6">
            <w:pPr>
              <w:spacing w:after="0" w:line="259" w:lineRule="auto"/>
              <w:ind w:left="0" w:right="233" w:firstLine="0"/>
              <w:jc w:val="right"/>
            </w:pPr>
            <w:r>
              <w:rPr>
                <w:b/>
              </w:rPr>
              <w:t xml:space="preserve"> </w:t>
            </w:r>
          </w:p>
          <w:p w:rsidR="0035633B" w:rsidRDefault="007250F6">
            <w:pPr>
              <w:spacing w:after="4" w:line="259" w:lineRule="auto"/>
              <w:ind w:left="0" w:firstLine="0"/>
              <w:jc w:val="left"/>
            </w:pPr>
            <w:r>
              <w:rPr>
                <w:b/>
              </w:rPr>
              <w:t xml:space="preserve"> </w:t>
            </w:r>
          </w:p>
          <w:p w:rsidR="0035633B" w:rsidRDefault="007250F6">
            <w:pPr>
              <w:spacing w:after="4" w:line="259" w:lineRule="auto"/>
              <w:ind w:left="0" w:right="233" w:firstLine="0"/>
              <w:jc w:val="right"/>
            </w:pPr>
            <w:r>
              <w:rPr>
                <w:b/>
              </w:rPr>
              <w:t xml:space="preserve"> </w:t>
            </w:r>
          </w:p>
          <w:p w:rsidR="0035633B" w:rsidRDefault="007250F6">
            <w:pPr>
              <w:spacing w:after="4" w:line="259" w:lineRule="auto"/>
              <w:ind w:left="0" w:right="233" w:firstLine="0"/>
              <w:jc w:val="right"/>
            </w:pPr>
            <w:r>
              <w:rPr>
                <w:b/>
              </w:rPr>
              <w:t xml:space="preserve"> </w:t>
            </w:r>
          </w:p>
          <w:p w:rsidR="0035633B" w:rsidRDefault="007250F6">
            <w:pPr>
              <w:spacing w:after="4" w:line="259" w:lineRule="auto"/>
              <w:ind w:left="0" w:right="233" w:firstLine="0"/>
              <w:jc w:val="right"/>
            </w:pPr>
            <w:r>
              <w:rPr>
                <w:b/>
              </w:rPr>
              <w:t xml:space="preserve"> </w:t>
            </w:r>
          </w:p>
          <w:p w:rsidR="0035633B" w:rsidRDefault="007250F6">
            <w:pPr>
              <w:spacing w:after="4" w:line="259" w:lineRule="auto"/>
              <w:ind w:left="0" w:right="233" w:firstLine="0"/>
              <w:jc w:val="right"/>
            </w:pPr>
            <w:r>
              <w:rPr>
                <w:b/>
              </w:rPr>
              <w:t xml:space="preserve"> </w:t>
            </w:r>
          </w:p>
          <w:p w:rsidR="0035633B" w:rsidRDefault="007250F6">
            <w:pPr>
              <w:spacing w:after="4" w:line="259" w:lineRule="auto"/>
              <w:ind w:left="0" w:right="233" w:firstLine="0"/>
              <w:jc w:val="right"/>
            </w:pPr>
            <w:r>
              <w:rPr>
                <w:b/>
              </w:rPr>
              <w:t xml:space="preserve"> </w:t>
            </w:r>
          </w:p>
          <w:p w:rsidR="0035633B" w:rsidRDefault="007250F6">
            <w:pPr>
              <w:spacing w:after="4" w:line="259" w:lineRule="auto"/>
              <w:ind w:left="0" w:right="233" w:firstLine="0"/>
              <w:jc w:val="right"/>
            </w:pPr>
            <w:r>
              <w:rPr>
                <w:b/>
              </w:rPr>
              <w:t xml:space="preserve"> </w:t>
            </w:r>
          </w:p>
          <w:p w:rsidR="0035633B" w:rsidRDefault="007250F6">
            <w:pPr>
              <w:spacing w:after="4" w:line="259" w:lineRule="auto"/>
              <w:ind w:left="0" w:right="233" w:firstLine="0"/>
              <w:jc w:val="right"/>
            </w:pPr>
            <w:r>
              <w:rPr>
                <w:b/>
              </w:rPr>
              <w:t xml:space="preserve"> </w:t>
            </w:r>
          </w:p>
          <w:p w:rsidR="0035633B" w:rsidRDefault="007250F6">
            <w:pPr>
              <w:spacing w:after="4" w:line="259" w:lineRule="auto"/>
              <w:ind w:left="0" w:right="233" w:firstLine="0"/>
              <w:jc w:val="right"/>
            </w:pPr>
            <w:r>
              <w:rPr>
                <w:b/>
              </w:rPr>
              <w:t xml:space="preserve"> </w:t>
            </w:r>
          </w:p>
          <w:p w:rsidR="0035633B" w:rsidRDefault="007250F6">
            <w:pPr>
              <w:spacing w:after="0" w:line="259" w:lineRule="auto"/>
              <w:ind w:left="0" w:right="233" w:firstLine="0"/>
              <w:jc w:val="right"/>
            </w:pPr>
            <w:r>
              <w:rPr>
                <w:b/>
              </w:rPr>
              <w:t xml:space="preserve"> </w:t>
            </w:r>
          </w:p>
        </w:tc>
        <w:tc>
          <w:tcPr>
            <w:tcW w:w="260" w:type="dxa"/>
            <w:tcBorders>
              <w:top w:val="nil"/>
              <w:left w:val="nil"/>
              <w:bottom w:val="nil"/>
              <w:right w:val="nil"/>
            </w:tcBorders>
          </w:tcPr>
          <w:p w:rsidR="0035633B" w:rsidRDefault="007250F6">
            <w:pPr>
              <w:spacing w:after="0" w:line="259" w:lineRule="auto"/>
              <w:ind w:left="0" w:firstLine="0"/>
              <w:jc w:val="left"/>
            </w:pPr>
            <w:r>
              <w:t xml:space="preserve"> </w:t>
            </w:r>
          </w:p>
        </w:tc>
        <w:tc>
          <w:tcPr>
            <w:tcW w:w="451" w:type="dxa"/>
            <w:tcBorders>
              <w:top w:val="nil"/>
              <w:left w:val="nil"/>
              <w:bottom w:val="nil"/>
              <w:right w:val="nil"/>
            </w:tcBorders>
            <w:vAlign w:val="center"/>
          </w:tcPr>
          <w:p w:rsidR="0035633B" w:rsidRDefault="007250F6">
            <w:pPr>
              <w:spacing w:after="666" w:line="259" w:lineRule="auto"/>
              <w:ind w:left="101" w:firstLine="0"/>
              <w:jc w:val="left"/>
            </w:pPr>
            <w:r>
              <w:rPr>
                <w:sz w:val="20"/>
              </w:rPr>
              <w:t xml:space="preserve">1. </w:t>
            </w:r>
          </w:p>
          <w:p w:rsidR="0035633B" w:rsidRDefault="007250F6">
            <w:pPr>
              <w:spacing w:after="667" w:line="259" w:lineRule="auto"/>
              <w:ind w:left="101" w:firstLine="0"/>
              <w:jc w:val="left"/>
            </w:pPr>
            <w:r>
              <w:rPr>
                <w:sz w:val="20"/>
              </w:rPr>
              <w:t xml:space="preserve">2. </w:t>
            </w:r>
          </w:p>
          <w:p w:rsidR="0035633B" w:rsidRDefault="007250F6">
            <w:pPr>
              <w:spacing w:after="671" w:line="259" w:lineRule="auto"/>
              <w:ind w:left="101" w:firstLine="0"/>
              <w:jc w:val="left"/>
            </w:pPr>
            <w:r>
              <w:rPr>
                <w:sz w:val="20"/>
              </w:rPr>
              <w:t xml:space="preserve">3. </w:t>
            </w:r>
          </w:p>
          <w:p w:rsidR="0035633B" w:rsidRDefault="007250F6">
            <w:pPr>
              <w:spacing w:after="667" w:line="259" w:lineRule="auto"/>
              <w:ind w:left="101" w:firstLine="0"/>
              <w:jc w:val="left"/>
            </w:pPr>
            <w:r>
              <w:rPr>
                <w:sz w:val="20"/>
              </w:rPr>
              <w:t xml:space="preserve">4. </w:t>
            </w:r>
          </w:p>
          <w:p w:rsidR="0035633B" w:rsidRDefault="007250F6">
            <w:pPr>
              <w:spacing w:after="441" w:line="259" w:lineRule="auto"/>
              <w:ind w:left="101" w:firstLine="0"/>
              <w:jc w:val="left"/>
            </w:pPr>
            <w:r>
              <w:rPr>
                <w:sz w:val="20"/>
              </w:rPr>
              <w:t xml:space="preserve">5. </w:t>
            </w:r>
          </w:p>
          <w:p w:rsidR="0035633B" w:rsidRDefault="007250F6">
            <w:pPr>
              <w:spacing w:after="672" w:line="259" w:lineRule="auto"/>
              <w:ind w:left="101" w:firstLine="0"/>
              <w:jc w:val="left"/>
            </w:pPr>
            <w:r>
              <w:rPr>
                <w:sz w:val="20"/>
              </w:rPr>
              <w:t xml:space="preserve">6. </w:t>
            </w:r>
          </w:p>
          <w:p w:rsidR="0035633B" w:rsidRDefault="007250F6">
            <w:pPr>
              <w:spacing w:after="666" w:line="259" w:lineRule="auto"/>
              <w:ind w:left="101" w:firstLine="0"/>
              <w:jc w:val="left"/>
            </w:pPr>
            <w:r>
              <w:rPr>
                <w:sz w:val="20"/>
              </w:rPr>
              <w:t xml:space="preserve">7. </w:t>
            </w:r>
          </w:p>
          <w:p w:rsidR="0035633B" w:rsidRDefault="007250F6">
            <w:pPr>
              <w:spacing w:after="677" w:line="259" w:lineRule="auto"/>
              <w:ind w:left="101" w:firstLine="0"/>
              <w:jc w:val="left"/>
            </w:pPr>
            <w:r>
              <w:rPr>
                <w:sz w:val="20"/>
              </w:rPr>
              <w:t xml:space="preserve">8. </w:t>
            </w:r>
          </w:p>
          <w:p w:rsidR="0035633B" w:rsidRDefault="007250F6">
            <w:pPr>
              <w:spacing w:after="0" w:line="259" w:lineRule="auto"/>
              <w:ind w:left="101" w:firstLine="0"/>
              <w:jc w:val="left"/>
            </w:pPr>
            <w:r>
              <w:rPr>
                <w:sz w:val="20"/>
              </w:rPr>
              <w:t xml:space="preserve">9. </w:t>
            </w:r>
          </w:p>
        </w:tc>
        <w:tc>
          <w:tcPr>
            <w:tcW w:w="7855" w:type="dxa"/>
            <w:tcBorders>
              <w:top w:val="nil"/>
              <w:left w:val="nil"/>
              <w:bottom w:val="nil"/>
              <w:right w:val="nil"/>
            </w:tcBorders>
            <w:vAlign w:val="bottom"/>
          </w:tcPr>
          <w:p w:rsidR="0035633B" w:rsidRDefault="007250F6">
            <w:pPr>
              <w:spacing w:after="10" w:line="259" w:lineRule="auto"/>
              <w:ind w:left="10" w:firstLine="0"/>
              <w:jc w:val="left"/>
            </w:pPr>
            <w:r>
              <w:rPr>
                <w:sz w:val="20"/>
              </w:rPr>
              <w:t xml:space="preserve"> </w:t>
            </w:r>
          </w:p>
          <w:p w:rsidR="0035633B" w:rsidRDefault="007250F6">
            <w:pPr>
              <w:spacing w:after="8" w:line="259" w:lineRule="auto"/>
              <w:ind w:left="0" w:firstLine="0"/>
            </w:pPr>
            <w:r>
              <w:rPr>
                <w:sz w:val="20"/>
              </w:rPr>
              <w:t xml:space="preserve">V. Dumitraşcu, Daliborca Vlad, Corina Flangea, Ioana Maliţa, Simona Şipoş, Beatrice Barac, </w:t>
            </w:r>
          </w:p>
          <w:p w:rsidR="0035633B" w:rsidRPr="008761E3" w:rsidRDefault="007250F6">
            <w:pPr>
              <w:spacing w:after="9" w:line="259" w:lineRule="auto"/>
              <w:ind w:left="10" w:firstLine="0"/>
              <w:rPr>
                <w:lang w:val="fr-FR"/>
              </w:rPr>
            </w:pPr>
            <w:r>
              <w:rPr>
                <w:b/>
                <w:sz w:val="20"/>
              </w:rPr>
              <w:t>C. Vlad</w:t>
            </w:r>
            <w:r>
              <w:rPr>
                <w:sz w:val="20"/>
              </w:rPr>
              <w:t xml:space="preserve">, Adelina Chevereşan, Ioana Ana, D. Ana. </w:t>
            </w:r>
            <w:r w:rsidRPr="008761E3">
              <w:rPr>
                <w:i/>
                <w:sz w:val="20"/>
                <w:lang w:val="fr-FR"/>
              </w:rPr>
              <w:t xml:space="preserve">Curs de Farmacologie pentru studenții de </w:t>
            </w:r>
          </w:p>
          <w:p w:rsidR="0035633B" w:rsidRDefault="007250F6">
            <w:pPr>
              <w:spacing w:after="20" w:line="244" w:lineRule="auto"/>
              <w:ind w:left="10" w:firstLine="0"/>
            </w:pPr>
            <w:r>
              <w:rPr>
                <w:i/>
                <w:sz w:val="20"/>
              </w:rPr>
              <w:t xml:space="preserve">Medicină Generală, vol. I, </w:t>
            </w:r>
            <w:r>
              <w:rPr>
                <w:sz w:val="20"/>
              </w:rPr>
              <w:t xml:space="preserve">Editura „Victor Babes”, Timisoara, 2018, ISBN 978-606-786-093-1; ISBN vol. I 978-606-786-094-8.  </w:t>
            </w:r>
          </w:p>
          <w:p w:rsidR="0035633B" w:rsidRDefault="007250F6">
            <w:pPr>
              <w:spacing w:after="0" w:line="252" w:lineRule="auto"/>
              <w:ind w:left="10" w:right="46"/>
            </w:pPr>
            <w:r>
              <w:rPr>
                <w:sz w:val="20"/>
              </w:rPr>
              <w:t xml:space="preserve">V. Dumitraşcu, Daliborca Vlad, Corina Flangea, Ioana Maliţa, Simona Şipoş, Adelina Chevereşan, Beatrice Barac, </w:t>
            </w:r>
            <w:r>
              <w:rPr>
                <w:b/>
                <w:sz w:val="20"/>
              </w:rPr>
              <w:t>C. Vlad</w:t>
            </w:r>
            <w:r>
              <w:rPr>
                <w:sz w:val="20"/>
              </w:rPr>
              <w:t xml:space="preserve">, Ioana Ana, D. Ana. </w:t>
            </w:r>
            <w:r>
              <w:rPr>
                <w:i/>
                <w:sz w:val="20"/>
              </w:rPr>
              <w:t xml:space="preserve">Curs de Farmacologie pentru studenții de Medicină Generală, vol. II, </w:t>
            </w:r>
            <w:r>
              <w:rPr>
                <w:sz w:val="20"/>
              </w:rPr>
              <w:t>Editura „Victor Babes”, Timisoara, 2018, ISBN 97</w:t>
            </w:r>
            <w:r>
              <w:rPr>
                <w:sz w:val="20"/>
              </w:rPr>
              <w:t xml:space="preserve">8606-786-093-1; ISBN vol. II 978-606-786-098-6. </w:t>
            </w:r>
          </w:p>
          <w:p w:rsidR="0035633B" w:rsidRDefault="007250F6">
            <w:pPr>
              <w:spacing w:after="0" w:line="259" w:lineRule="auto"/>
              <w:ind w:left="0" w:firstLine="0"/>
            </w:pPr>
            <w:r>
              <w:rPr>
                <w:sz w:val="20"/>
              </w:rPr>
              <w:t xml:space="preserve">Daliborca Vlad, Corina Flangea, Ioana Maliţa, Simona Şipoş, Beatrice Barac, </w:t>
            </w:r>
            <w:r>
              <w:rPr>
                <w:b/>
                <w:sz w:val="20"/>
              </w:rPr>
              <w:t>C. Vlad</w:t>
            </w:r>
            <w:r>
              <w:rPr>
                <w:sz w:val="20"/>
              </w:rPr>
              <w:t xml:space="preserve">, Adelina </w:t>
            </w:r>
          </w:p>
          <w:p w:rsidR="0035633B" w:rsidRDefault="007250F6">
            <w:pPr>
              <w:spacing w:after="18" w:line="239" w:lineRule="auto"/>
              <w:ind w:left="10" w:right="50" w:firstLine="0"/>
            </w:pPr>
            <w:r>
              <w:rPr>
                <w:sz w:val="20"/>
              </w:rPr>
              <w:t xml:space="preserve">Chevereşan, Ioana Ana, D. Ana, V. Dumitraşcu (coordonator). </w:t>
            </w:r>
            <w:r w:rsidRPr="008761E3">
              <w:rPr>
                <w:sz w:val="20"/>
                <w:lang w:val="fr-FR"/>
              </w:rPr>
              <w:t xml:space="preserve">Aplicații practice de Farmacologie pentru studenții de Medicină Generală, vol. </w:t>
            </w:r>
            <w:r>
              <w:rPr>
                <w:sz w:val="20"/>
              </w:rPr>
              <w:t xml:space="preserve">I,  Editura „Victor Babes”, Timisoara, 2018, ISBN 978-606-786-095-5, ISBN vol. I 978-606-786-096-2. </w:t>
            </w:r>
          </w:p>
          <w:p w:rsidR="0035633B" w:rsidRDefault="007250F6">
            <w:pPr>
              <w:spacing w:after="0" w:line="259" w:lineRule="auto"/>
              <w:ind w:left="0" w:firstLine="0"/>
            </w:pPr>
            <w:r>
              <w:rPr>
                <w:sz w:val="20"/>
              </w:rPr>
              <w:t xml:space="preserve">Corina Flangea, </w:t>
            </w:r>
            <w:r>
              <w:rPr>
                <w:sz w:val="20"/>
              </w:rPr>
              <w:t xml:space="preserve">Daliborca Vlad, Ioana Maliţa, Simona Şipoş, </w:t>
            </w:r>
            <w:r>
              <w:rPr>
                <w:b/>
                <w:sz w:val="20"/>
              </w:rPr>
              <w:t>C. Vlad</w:t>
            </w:r>
            <w:r>
              <w:rPr>
                <w:sz w:val="20"/>
              </w:rPr>
              <w:t xml:space="preserve">, Beatrice Barac, Adelina </w:t>
            </w:r>
          </w:p>
          <w:p w:rsidR="0035633B" w:rsidRDefault="007250F6">
            <w:pPr>
              <w:spacing w:after="12" w:line="236" w:lineRule="auto"/>
              <w:ind w:left="10" w:right="50" w:firstLine="0"/>
            </w:pPr>
            <w:r>
              <w:rPr>
                <w:sz w:val="20"/>
              </w:rPr>
              <w:t xml:space="preserve">Chevereşan, Ioana Ana, D. Ana, V. Dumitraşcu (coordonator). </w:t>
            </w:r>
            <w:r w:rsidRPr="008761E3">
              <w:rPr>
                <w:sz w:val="20"/>
                <w:lang w:val="fr-FR"/>
              </w:rPr>
              <w:t xml:space="preserve">Aplicații practice de Farmacologie pentru studenții de Medicină Generală, volo. </w:t>
            </w:r>
            <w:r>
              <w:rPr>
                <w:sz w:val="20"/>
              </w:rPr>
              <w:t>II, Editura „Victor Babes”, Timisoara,</w:t>
            </w:r>
            <w:r>
              <w:rPr>
                <w:sz w:val="20"/>
              </w:rPr>
              <w:t xml:space="preserve"> 2018, ISBN 978-606-786-095-5, ISBN vol. I 978-606-786-096-2. </w:t>
            </w:r>
          </w:p>
          <w:p w:rsidR="0035633B" w:rsidRDefault="007250F6">
            <w:pPr>
              <w:spacing w:after="1" w:line="259" w:lineRule="auto"/>
              <w:ind w:left="0" w:firstLine="0"/>
            </w:pPr>
            <w:r>
              <w:rPr>
                <w:sz w:val="20"/>
              </w:rPr>
              <w:t xml:space="preserve">Adelina Chevereşan,  </w:t>
            </w:r>
            <w:r>
              <w:rPr>
                <w:b/>
                <w:sz w:val="20"/>
              </w:rPr>
              <w:t>C. Vlad</w:t>
            </w:r>
            <w:r>
              <w:rPr>
                <w:sz w:val="20"/>
              </w:rPr>
              <w:t xml:space="preserve">, Ioana Maliţa, Daliborca Vlad, Beatrice Barac, Corina Flangea, </w:t>
            </w:r>
          </w:p>
          <w:p w:rsidR="0035633B" w:rsidRDefault="007250F6">
            <w:pPr>
              <w:spacing w:after="33" w:line="239" w:lineRule="auto"/>
              <w:ind w:left="10" w:firstLine="0"/>
            </w:pPr>
            <w:r>
              <w:rPr>
                <w:sz w:val="20"/>
              </w:rPr>
              <w:t xml:space="preserve">Simona Şipoş, Ioana Ana, Ioana Ana, V. Dumitraşcu (coordonator). </w:t>
            </w:r>
            <w:r>
              <w:rPr>
                <w:i/>
                <w:sz w:val="20"/>
              </w:rPr>
              <w:t>Notiuni</w:t>
            </w:r>
            <w:r>
              <w:rPr>
                <w:sz w:val="20"/>
              </w:rPr>
              <w:t xml:space="preserve"> </w:t>
            </w:r>
            <w:r>
              <w:rPr>
                <w:i/>
                <w:sz w:val="20"/>
              </w:rPr>
              <w:t>de Farmacologie pentru Medi</w:t>
            </w:r>
            <w:r>
              <w:rPr>
                <w:i/>
                <w:sz w:val="20"/>
              </w:rPr>
              <w:t xml:space="preserve">cina Dentara, </w:t>
            </w:r>
            <w:r>
              <w:rPr>
                <w:sz w:val="20"/>
              </w:rPr>
              <w:t xml:space="preserve">Editura Mirton, Timisoara, 2018, ISBN 978-973-52-1796-9 </w:t>
            </w:r>
          </w:p>
          <w:p w:rsidR="0035633B" w:rsidRDefault="007250F6">
            <w:pPr>
              <w:spacing w:after="18" w:line="242" w:lineRule="auto"/>
              <w:ind w:left="10" w:right="46"/>
            </w:pPr>
            <w:r>
              <w:rPr>
                <w:b/>
                <w:sz w:val="20"/>
              </w:rPr>
              <w:t>C. Vlad</w:t>
            </w:r>
            <w:r>
              <w:rPr>
                <w:sz w:val="20"/>
              </w:rPr>
              <w:t>, Adelina Chevereşan, Daliborca Vlad, Ioana Maliţa, Corina Flangea, Simona Şipoş, Beatrice    Barac, Ioana Ana, D. Ana, V. Dumitraşcu (coordonator).</w:t>
            </w:r>
            <w:r>
              <w:rPr>
                <w:b/>
                <w:sz w:val="20"/>
              </w:rPr>
              <w:t xml:space="preserve"> </w:t>
            </w:r>
            <w:r>
              <w:rPr>
                <w:i/>
                <w:sz w:val="20"/>
              </w:rPr>
              <w:t>Aplicatii practice de Farmaco</w:t>
            </w:r>
            <w:r>
              <w:rPr>
                <w:i/>
                <w:sz w:val="20"/>
              </w:rPr>
              <w:t xml:space="preserve">logie pentru Medicina Dentara, </w:t>
            </w:r>
            <w:r>
              <w:rPr>
                <w:sz w:val="20"/>
              </w:rPr>
              <w:t xml:space="preserve">Editura de Vest, Timisoara, 2017, ISBN 978-973-360708-3. </w:t>
            </w:r>
          </w:p>
          <w:p w:rsidR="0035633B" w:rsidRDefault="007250F6">
            <w:pPr>
              <w:spacing w:after="0" w:line="255" w:lineRule="auto"/>
              <w:ind w:left="10" w:right="46"/>
            </w:pPr>
            <w:r>
              <w:rPr>
                <w:sz w:val="20"/>
              </w:rPr>
              <w:t xml:space="preserve">Daliborca Vlad, Ioana Maliţa, Corina Flangea, Simona Şipoş, D. Ana, </w:t>
            </w:r>
            <w:r>
              <w:rPr>
                <w:b/>
                <w:sz w:val="20"/>
              </w:rPr>
              <w:t>C. Vlad</w:t>
            </w:r>
            <w:r>
              <w:rPr>
                <w:sz w:val="20"/>
              </w:rPr>
              <w:t>, Beatrice Barac, Adelina   Chevereşan, Ioana Ana, V. Dumitraşcu (coordonator).</w:t>
            </w:r>
            <w:r>
              <w:rPr>
                <w:i/>
                <w:sz w:val="20"/>
              </w:rPr>
              <w:t xml:space="preserve"> Aplicatii pr</w:t>
            </w:r>
            <w:r>
              <w:rPr>
                <w:i/>
                <w:sz w:val="20"/>
              </w:rPr>
              <w:t xml:space="preserve">actice de Farmacologie pentru Asistență Medicală Generală, </w:t>
            </w:r>
            <w:r>
              <w:rPr>
                <w:sz w:val="20"/>
              </w:rPr>
              <w:t xml:space="preserve">Editura „Victor Babes”, Timisoara, 2017, ISBN 978-606-786-036-8. </w:t>
            </w:r>
          </w:p>
          <w:p w:rsidR="0035633B" w:rsidRDefault="007250F6">
            <w:pPr>
              <w:spacing w:after="11" w:line="257" w:lineRule="auto"/>
              <w:ind w:left="10" w:right="46"/>
            </w:pPr>
            <w:r>
              <w:rPr>
                <w:sz w:val="20"/>
              </w:rPr>
              <w:t xml:space="preserve">Ioana Maliţa, Daliborca Vlad, Corina Flangea, Simona Şipoş, D. Ana, </w:t>
            </w:r>
            <w:r>
              <w:rPr>
                <w:b/>
                <w:sz w:val="20"/>
              </w:rPr>
              <w:t>C. Vlad</w:t>
            </w:r>
            <w:r>
              <w:rPr>
                <w:sz w:val="20"/>
              </w:rPr>
              <w:t xml:space="preserve">, Beatrice Barac, Adelina Chevereşan, Ioana Ana, V. Dumitraşcu (coordonator). </w:t>
            </w:r>
            <w:r>
              <w:rPr>
                <w:i/>
                <w:sz w:val="20"/>
              </w:rPr>
              <w:t xml:space="preserve">Curs de Farmacologie pentru Asistență Medicală Generală, </w:t>
            </w:r>
            <w:r>
              <w:rPr>
                <w:sz w:val="20"/>
              </w:rPr>
              <w:t xml:space="preserve">Editura „Victor Babes”, Timisoara, 2017, ISBN 978-606-786035-1. </w:t>
            </w:r>
          </w:p>
          <w:p w:rsidR="0035633B" w:rsidRDefault="007250F6">
            <w:pPr>
              <w:spacing w:after="0" w:line="259" w:lineRule="auto"/>
              <w:ind w:left="10" w:right="45"/>
            </w:pPr>
            <w:r>
              <w:rPr>
                <w:sz w:val="20"/>
              </w:rPr>
              <w:t>V. Dumitraşcu, Marinela Popovici, Beatrice Barac, Dalibo</w:t>
            </w:r>
            <w:r>
              <w:rPr>
                <w:sz w:val="20"/>
              </w:rPr>
              <w:t xml:space="preserve">rca Vlad, Ioana Maliţa, Adelina Chevereşan, Corina Flangea, D. Ana, Simona Şipoş, Ioana Ana, </w:t>
            </w:r>
            <w:r>
              <w:rPr>
                <w:b/>
                <w:sz w:val="20"/>
              </w:rPr>
              <w:t>C. Vlad.</w:t>
            </w:r>
            <w:r>
              <w:rPr>
                <w:sz w:val="20"/>
              </w:rPr>
              <w:t xml:space="preserve"> </w:t>
            </w:r>
            <w:r>
              <w:rPr>
                <w:i/>
                <w:sz w:val="20"/>
              </w:rPr>
              <w:t>Curs de Farmacologie ediţia a X-a,</w:t>
            </w:r>
            <w:r>
              <w:rPr>
                <w:sz w:val="20"/>
              </w:rPr>
              <w:t xml:space="preserve"> Editura „Victor Babes”, Timisoara, 2015, ISBN 978-606-8456-79-9. </w:t>
            </w:r>
          </w:p>
        </w:tc>
      </w:tr>
    </w:tbl>
    <w:p w:rsidR="0035633B" w:rsidRDefault="007250F6">
      <w:pPr>
        <w:numPr>
          <w:ilvl w:val="0"/>
          <w:numId w:val="2"/>
        </w:numPr>
        <w:spacing w:line="252" w:lineRule="auto"/>
        <w:ind w:right="329"/>
      </w:pPr>
      <w:r>
        <w:rPr>
          <w:sz w:val="20"/>
        </w:rPr>
        <w:t xml:space="preserve">Victor Dumitraşcu, Marinela Popovici, Ioana Maliţa, </w:t>
      </w:r>
      <w:r>
        <w:rPr>
          <w:sz w:val="20"/>
        </w:rPr>
        <w:t xml:space="preserve">Dorin Ana, Beatrice Barac, Ioana Ana, </w:t>
      </w:r>
      <w:r>
        <w:rPr>
          <w:b/>
        </w:rPr>
        <w:t xml:space="preserve"> </w:t>
      </w:r>
      <w:r>
        <w:rPr>
          <w:sz w:val="20"/>
        </w:rPr>
        <w:t xml:space="preserve">Adelina Chevereşan, Simona Şipoş, Daliborca Vlad, Corina Flangea, </w:t>
      </w:r>
      <w:r>
        <w:rPr>
          <w:b/>
          <w:sz w:val="20"/>
        </w:rPr>
        <w:t>Cristian Vlad</w:t>
      </w:r>
      <w:r>
        <w:rPr>
          <w:sz w:val="20"/>
        </w:rPr>
        <w:t xml:space="preserve"> - </w:t>
      </w:r>
      <w:r>
        <w:rPr>
          <w:i/>
          <w:sz w:val="20"/>
        </w:rPr>
        <w:t xml:space="preserve">Ghid </w:t>
      </w:r>
      <w:r>
        <w:rPr>
          <w:b/>
        </w:rPr>
        <w:t xml:space="preserve"> </w:t>
      </w:r>
      <w:r>
        <w:rPr>
          <w:i/>
          <w:sz w:val="20"/>
        </w:rPr>
        <w:t>practic de farmacologie</w:t>
      </w:r>
      <w:r>
        <w:rPr>
          <w:sz w:val="20"/>
        </w:rPr>
        <w:t xml:space="preserve">. </w:t>
      </w:r>
      <w:r>
        <w:rPr>
          <w:i/>
          <w:sz w:val="20"/>
        </w:rPr>
        <w:t xml:space="preserve">Editia a VIII-a, </w:t>
      </w:r>
      <w:r>
        <w:rPr>
          <w:sz w:val="20"/>
        </w:rPr>
        <w:t>Editura „Victor Babes”, Timisoara, 2015, ISBN 978-</w:t>
      </w:r>
    </w:p>
    <w:p w:rsidR="0035633B" w:rsidRDefault="007250F6">
      <w:pPr>
        <w:tabs>
          <w:tab w:val="center" w:pos="1561"/>
          <w:tab w:val="center" w:pos="3209"/>
        </w:tabs>
        <w:spacing w:line="252" w:lineRule="auto"/>
        <w:ind w:left="0" w:firstLine="0"/>
        <w:jc w:val="left"/>
      </w:pPr>
      <w:r>
        <w:rPr>
          <w:rFonts w:ascii="Calibri" w:eastAsia="Calibri" w:hAnsi="Calibri" w:cs="Calibri"/>
          <w:sz w:val="22"/>
        </w:rPr>
        <w:tab/>
      </w:r>
      <w:r>
        <w:rPr>
          <w:b/>
        </w:rPr>
        <w:t xml:space="preserve"> </w:t>
      </w:r>
      <w:r>
        <w:rPr>
          <w:b/>
        </w:rPr>
        <w:tab/>
      </w:r>
      <w:r>
        <w:rPr>
          <w:sz w:val="20"/>
        </w:rPr>
        <w:t xml:space="preserve">606-8456-80-5.   </w:t>
      </w:r>
    </w:p>
    <w:p w:rsidR="0035633B" w:rsidRPr="008761E3" w:rsidRDefault="007250F6">
      <w:pPr>
        <w:numPr>
          <w:ilvl w:val="0"/>
          <w:numId w:val="2"/>
        </w:numPr>
        <w:spacing w:after="42" w:line="252" w:lineRule="auto"/>
        <w:ind w:right="329"/>
        <w:rPr>
          <w:lang w:val="fr-FR"/>
        </w:rPr>
      </w:pPr>
      <w:r>
        <w:rPr>
          <w:sz w:val="20"/>
        </w:rPr>
        <w:t xml:space="preserve">V. Dumitraşcu, </w:t>
      </w:r>
      <w:r>
        <w:rPr>
          <w:sz w:val="20"/>
        </w:rPr>
        <w:t xml:space="preserve">Rodica Cinca, Marinela Popovici, Beatrice Barac, Daliborca Vlad, Ioana Maliţa, </w:t>
      </w:r>
      <w:r>
        <w:rPr>
          <w:b/>
        </w:rPr>
        <w:t xml:space="preserve"> </w:t>
      </w:r>
      <w:r>
        <w:rPr>
          <w:sz w:val="20"/>
        </w:rPr>
        <w:t xml:space="preserve">Adelina Chevereşan, Corina Flangea, D. Ana, Simona Şipoş, Ioana Ana, </w:t>
      </w:r>
      <w:r>
        <w:rPr>
          <w:b/>
          <w:sz w:val="20"/>
        </w:rPr>
        <w:t>C. Vlad</w:t>
      </w:r>
      <w:r>
        <w:rPr>
          <w:sz w:val="20"/>
        </w:rPr>
        <w:t xml:space="preserve">. </w:t>
      </w:r>
      <w:r w:rsidRPr="008761E3">
        <w:rPr>
          <w:i/>
          <w:sz w:val="20"/>
          <w:lang w:val="fr-FR"/>
        </w:rPr>
        <w:t xml:space="preserve">Curs de </w:t>
      </w:r>
      <w:r w:rsidRPr="008761E3">
        <w:rPr>
          <w:b/>
          <w:lang w:val="fr-FR"/>
        </w:rPr>
        <w:t xml:space="preserve"> </w:t>
      </w:r>
      <w:r w:rsidRPr="008761E3">
        <w:rPr>
          <w:i/>
          <w:sz w:val="20"/>
          <w:lang w:val="fr-FR"/>
        </w:rPr>
        <w:t xml:space="preserve">Farmacologie ediţia a IX-a, </w:t>
      </w:r>
      <w:r w:rsidRPr="008761E3">
        <w:rPr>
          <w:sz w:val="20"/>
          <w:lang w:val="fr-FR"/>
        </w:rPr>
        <w:t xml:space="preserve">Editura de Vest, Timisoara, 2014, ISBN 978-973-36-0620-8. </w:t>
      </w:r>
    </w:p>
    <w:p w:rsidR="0035633B" w:rsidRPr="008761E3" w:rsidRDefault="007250F6">
      <w:pPr>
        <w:spacing w:after="122" w:line="259" w:lineRule="auto"/>
        <w:ind w:left="1561" w:firstLine="0"/>
        <w:jc w:val="left"/>
        <w:rPr>
          <w:lang w:val="fr-FR"/>
        </w:rPr>
      </w:pPr>
      <w:r w:rsidRPr="008761E3">
        <w:rPr>
          <w:b/>
          <w:lang w:val="fr-FR"/>
        </w:rPr>
        <w:t xml:space="preserve"> </w:t>
      </w:r>
      <w:r w:rsidRPr="008761E3">
        <w:rPr>
          <w:b/>
          <w:lang w:val="fr-FR"/>
        </w:rPr>
        <w:tab/>
      </w:r>
      <w:r w:rsidRPr="008761E3">
        <w:rPr>
          <w:lang w:val="fr-FR"/>
        </w:rPr>
        <w:t xml:space="preserve"> </w:t>
      </w:r>
    </w:p>
    <w:p w:rsidR="0035633B" w:rsidRDefault="007250F6">
      <w:pPr>
        <w:pStyle w:val="Heading1"/>
        <w:tabs>
          <w:tab w:val="center" w:pos="1844"/>
        </w:tabs>
        <w:ind w:left="-15" w:firstLine="0"/>
      </w:pPr>
      <w:r>
        <w:t xml:space="preserve">Conferințe </w:t>
      </w:r>
      <w:r>
        <w:tab/>
      </w:r>
      <w:r>
        <w:rPr>
          <w:b w:val="0"/>
          <w:sz w:val="28"/>
          <w:vertAlign w:val="superscript"/>
        </w:rPr>
        <w:t xml:space="preserve"> </w:t>
      </w:r>
    </w:p>
    <w:p w:rsidR="0035633B" w:rsidRDefault="007250F6">
      <w:pPr>
        <w:spacing w:after="5" w:line="259" w:lineRule="auto"/>
        <w:ind w:left="1561" w:firstLine="0"/>
        <w:jc w:val="left"/>
      </w:pPr>
      <w:r>
        <w:rPr>
          <w:b/>
        </w:rPr>
        <w:t xml:space="preserve"> </w:t>
      </w:r>
      <w:r>
        <w:rPr>
          <w:b/>
        </w:rPr>
        <w:tab/>
      </w:r>
      <w:r>
        <w:t xml:space="preserve"> </w:t>
      </w:r>
    </w:p>
    <w:p w:rsidR="0035633B" w:rsidRDefault="007250F6">
      <w:pPr>
        <w:numPr>
          <w:ilvl w:val="0"/>
          <w:numId w:val="3"/>
        </w:numPr>
        <w:spacing w:line="252" w:lineRule="auto"/>
        <w:ind w:left="1887" w:right="333" w:hanging="341"/>
      </w:pPr>
      <w:r>
        <w:rPr>
          <w:sz w:val="20"/>
        </w:rPr>
        <w:t xml:space="preserve">Traista Roxana, Filimon Nicoleta, Dumitrescu Gabi, Vlad Daliborca, </w:t>
      </w:r>
      <w:r>
        <w:rPr>
          <w:b/>
          <w:sz w:val="20"/>
        </w:rPr>
        <w:t>Vlad Cristian</w:t>
      </w:r>
      <w:r>
        <w:rPr>
          <w:sz w:val="20"/>
        </w:rPr>
        <w:t xml:space="preserve">, Popescu </w:t>
      </w:r>
      <w:r>
        <w:rPr>
          <w:b/>
          <w:sz w:val="28"/>
          <w:vertAlign w:val="subscript"/>
        </w:rPr>
        <w:t xml:space="preserve"> </w:t>
      </w:r>
      <w:r>
        <w:rPr>
          <w:sz w:val="20"/>
        </w:rPr>
        <w:t xml:space="preserve">Roxana. Studiul efectelor statinelor asupra functiei si morfologiei testiculare la sobolani. </w:t>
      </w:r>
      <w:r>
        <w:rPr>
          <w:sz w:val="20"/>
        </w:rPr>
        <w:lastRenderedPageBreak/>
        <w:t xml:space="preserve">Conferința </w:t>
      </w:r>
      <w:r>
        <w:rPr>
          <w:b/>
          <w:sz w:val="28"/>
          <w:vertAlign w:val="subscript"/>
        </w:rPr>
        <w:t xml:space="preserve"> </w:t>
      </w:r>
      <w:r>
        <w:rPr>
          <w:sz w:val="20"/>
        </w:rPr>
        <w:t xml:space="preserve">Anuală BIOLOGIA. Procese biologice – </w:t>
      </w:r>
      <w:r>
        <w:rPr>
          <w:sz w:val="20"/>
        </w:rPr>
        <w:t xml:space="preserve">aspecte teoretice și aplicații practice, 25 mai, 2018. </w:t>
      </w:r>
    </w:p>
    <w:p w:rsidR="0035633B" w:rsidRDefault="007250F6">
      <w:pPr>
        <w:numPr>
          <w:ilvl w:val="0"/>
          <w:numId w:val="3"/>
        </w:numPr>
        <w:spacing w:after="0" w:line="259" w:lineRule="auto"/>
        <w:ind w:left="1887" w:right="333" w:hanging="341"/>
      </w:pPr>
      <w:r>
        <w:rPr>
          <w:sz w:val="20"/>
        </w:rPr>
        <w:t xml:space="preserve">Onwubiko Chinyere Ezinne, Vlad Daliborca, Dumitrascu Victor, Filimon Nicoleta, </w:t>
      </w:r>
      <w:r>
        <w:rPr>
          <w:b/>
          <w:sz w:val="20"/>
        </w:rPr>
        <w:t>Vlad Cristian</w:t>
      </w:r>
      <w:r>
        <w:rPr>
          <w:sz w:val="20"/>
        </w:rPr>
        <w:t>.</w:t>
      </w:r>
    </w:p>
    <w:p w:rsidR="0035633B" w:rsidRDefault="007250F6">
      <w:pPr>
        <w:tabs>
          <w:tab w:val="center" w:pos="1561"/>
          <w:tab w:val="center" w:pos="6104"/>
        </w:tabs>
        <w:spacing w:line="252" w:lineRule="auto"/>
        <w:ind w:left="0" w:firstLine="0"/>
        <w:jc w:val="left"/>
      </w:pPr>
      <w:r>
        <w:rPr>
          <w:rFonts w:ascii="Calibri" w:eastAsia="Calibri" w:hAnsi="Calibri" w:cs="Calibri"/>
          <w:sz w:val="22"/>
        </w:rPr>
        <w:tab/>
      </w:r>
      <w:r>
        <w:rPr>
          <w:b/>
        </w:rPr>
        <w:t xml:space="preserve"> </w:t>
      </w:r>
      <w:r>
        <w:rPr>
          <w:b/>
        </w:rPr>
        <w:tab/>
      </w:r>
      <w:r>
        <w:rPr>
          <w:sz w:val="20"/>
        </w:rPr>
        <w:t>Studiul efectelor terapeutice a extractelor de Gnetum Africanum asupra tulpinilor bacteriene. Conferinț</w:t>
      </w:r>
      <w:r>
        <w:rPr>
          <w:sz w:val="20"/>
        </w:rPr>
        <w:t xml:space="preserve">a </w:t>
      </w:r>
    </w:p>
    <w:p w:rsidR="0035633B" w:rsidRDefault="007250F6">
      <w:pPr>
        <w:tabs>
          <w:tab w:val="center" w:pos="1561"/>
          <w:tab w:val="center" w:pos="5609"/>
        </w:tabs>
        <w:spacing w:line="252" w:lineRule="auto"/>
        <w:ind w:left="0" w:firstLine="0"/>
        <w:jc w:val="left"/>
      </w:pPr>
      <w:r>
        <w:rPr>
          <w:rFonts w:ascii="Calibri" w:eastAsia="Calibri" w:hAnsi="Calibri" w:cs="Calibri"/>
          <w:sz w:val="22"/>
        </w:rPr>
        <w:tab/>
      </w:r>
      <w:r>
        <w:rPr>
          <w:b/>
        </w:rPr>
        <w:t xml:space="preserve"> </w:t>
      </w:r>
      <w:r>
        <w:rPr>
          <w:b/>
        </w:rPr>
        <w:tab/>
      </w:r>
      <w:r>
        <w:rPr>
          <w:sz w:val="20"/>
        </w:rPr>
        <w:t xml:space="preserve">Anuală BIOLOGIA. Procese biologice – aspecte teoretice și aplicații practice, 25 mai, 2018. </w:t>
      </w:r>
    </w:p>
    <w:p w:rsidR="0035633B" w:rsidRDefault="007250F6">
      <w:pPr>
        <w:numPr>
          <w:ilvl w:val="0"/>
          <w:numId w:val="3"/>
        </w:numPr>
        <w:spacing w:line="252" w:lineRule="auto"/>
        <w:ind w:left="1887" w:right="333" w:hanging="341"/>
      </w:pPr>
      <w:r>
        <w:rPr>
          <w:sz w:val="20"/>
        </w:rPr>
        <w:t>Bambia M, Mituletu M, Marazan O, Popescu R,</w:t>
      </w:r>
      <w:r>
        <w:rPr>
          <w:b/>
          <w:sz w:val="20"/>
        </w:rPr>
        <w:t xml:space="preserve"> Vlad CS, </w:t>
      </w:r>
      <w:r>
        <w:rPr>
          <w:sz w:val="20"/>
        </w:rPr>
        <w:t>Verdes D.</w:t>
      </w:r>
      <w:r>
        <w:rPr>
          <w:b/>
          <w:sz w:val="20"/>
        </w:rPr>
        <w:t xml:space="preserve"> </w:t>
      </w:r>
      <w:r>
        <w:rPr>
          <w:i/>
          <w:sz w:val="20"/>
        </w:rPr>
        <w:t xml:space="preserve">The role of miRNA in </w:t>
      </w:r>
      <w:r>
        <w:rPr>
          <w:b/>
        </w:rPr>
        <w:t xml:space="preserve"> </w:t>
      </w:r>
      <w:r>
        <w:rPr>
          <w:i/>
          <w:sz w:val="20"/>
        </w:rPr>
        <w:t xml:space="preserve">mamamary tumorigenesis. </w:t>
      </w:r>
      <w:r>
        <w:rPr>
          <w:sz w:val="20"/>
        </w:rPr>
        <w:t>The 9th International Congress and the 35th Annu</w:t>
      </w:r>
      <w:r>
        <w:rPr>
          <w:sz w:val="20"/>
        </w:rPr>
        <w:t xml:space="preserve">al Scientific Sesion of </w:t>
      </w:r>
      <w:r>
        <w:rPr>
          <w:b/>
        </w:rPr>
        <w:t xml:space="preserve"> </w:t>
      </w:r>
      <w:r>
        <w:rPr>
          <w:sz w:val="20"/>
        </w:rPr>
        <w:t xml:space="preserve">Romanian Society for Cell Biology, June 7-11, 2017, Timisoara. Bulletin of Romanian Society for Cell </w:t>
      </w:r>
      <w:r>
        <w:rPr>
          <w:b/>
        </w:rPr>
        <w:t xml:space="preserve"> </w:t>
      </w:r>
      <w:r>
        <w:rPr>
          <w:sz w:val="20"/>
        </w:rPr>
        <w:t xml:space="preserve">Biology, no. 45, pg 64, Iași </w:t>
      </w:r>
    </w:p>
    <w:p w:rsidR="0035633B" w:rsidRDefault="007250F6">
      <w:pPr>
        <w:numPr>
          <w:ilvl w:val="0"/>
          <w:numId w:val="3"/>
        </w:numPr>
        <w:ind w:left="1887" w:right="333" w:hanging="341"/>
      </w:pPr>
      <w:r>
        <w:rPr>
          <w:b/>
        </w:rPr>
        <w:t xml:space="preserve">C. Vlad, </w:t>
      </w:r>
      <w:r>
        <w:t>D. Vlad, R. Popescu, D. Grecu, A. Cheveresan, C. Flangea, V. Dumitrascu. Expression of Mat</w:t>
      </w:r>
      <w:r>
        <w:t xml:space="preserve">rix </w:t>
      </w:r>
    </w:p>
    <w:p w:rsidR="0035633B" w:rsidRDefault="007250F6">
      <w:pPr>
        <w:ind w:left="1561" w:right="457" w:hanging="783"/>
      </w:pPr>
      <w:r>
        <w:rPr>
          <w:b/>
        </w:rPr>
        <w:t xml:space="preserve"> </w:t>
      </w:r>
      <w:r>
        <w:t xml:space="preserve">Metalloproteinases (MMPs) MMP-3 and MMP-8 before and after treatment with Etoricoxib in patients with chronic </w:t>
      </w:r>
      <w:r>
        <w:rPr>
          <w:b/>
        </w:rPr>
        <w:t xml:space="preserve"> </w:t>
      </w:r>
      <w:r>
        <w:t xml:space="preserve">periodontal disease. Clinical Chemistry, vol. 62, No. 10, S42, A-160, supplement 2016, Abstracts of the Scientific </w:t>
      </w:r>
      <w:r>
        <w:rPr>
          <w:b/>
          <w:sz w:val="28"/>
          <w:vertAlign w:val="subscript"/>
        </w:rPr>
        <w:t xml:space="preserve"> </w:t>
      </w:r>
      <w:r>
        <w:t>Posters 2016 AACC Annua</w:t>
      </w:r>
      <w:r>
        <w:t xml:space="preserve">l Meeting, July 31 – August 4th, Philadelphia. </w:t>
      </w:r>
      <w:hyperlink r:id="rId9">
        <w:r>
          <w:rPr>
            <w:b/>
          </w:rPr>
          <w:t xml:space="preserve"> </w:t>
        </w:r>
      </w:hyperlink>
      <w:hyperlink r:id="rId10">
        <w:r>
          <w:rPr>
            <w:u w:val="single" w:color="000000"/>
          </w:rPr>
          <w:t>http://www.clinchem.org</w:t>
        </w:r>
      </w:hyperlink>
      <w:hyperlink r:id="rId11">
        <w:r>
          <w:t>.</w:t>
        </w:r>
      </w:hyperlink>
      <w:hyperlink r:id="rId12">
        <w:r>
          <w:t xml:space="preserve"> </w:t>
        </w:r>
      </w:hyperlink>
    </w:p>
    <w:p w:rsidR="0035633B" w:rsidRDefault="007250F6">
      <w:pPr>
        <w:numPr>
          <w:ilvl w:val="0"/>
          <w:numId w:val="3"/>
        </w:numPr>
        <w:spacing w:line="335" w:lineRule="auto"/>
        <w:ind w:left="1887" w:right="333" w:hanging="341"/>
      </w:pPr>
      <w:r>
        <w:t xml:space="preserve">D. Vlad, F. Horhat, D. Cipu, </w:t>
      </w:r>
      <w:r>
        <w:rPr>
          <w:b/>
        </w:rPr>
        <w:t>C. Vlad</w:t>
      </w:r>
      <w:r>
        <w:t xml:space="preserve">, R. Popescu, V. Dumitrascu, M. Licker. The incidence of Streptococcus </w:t>
      </w:r>
      <w:r>
        <w:rPr>
          <w:b/>
        </w:rPr>
        <w:t xml:space="preserve"> </w:t>
      </w:r>
      <w:r>
        <w:t xml:space="preserve">pneumonmiae strains in patients with otitis media in hospital and ambulatory. Clinical Chemistry, vol. 62, No. 10, </w:t>
      </w:r>
    </w:p>
    <w:p w:rsidR="0035633B" w:rsidRDefault="007250F6">
      <w:pPr>
        <w:spacing w:line="336" w:lineRule="auto"/>
        <w:ind w:left="1829" w:right="333" w:hanging="283"/>
      </w:pPr>
      <w:r>
        <w:rPr>
          <w:b/>
        </w:rPr>
        <w:t xml:space="preserve"> </w:t>
      </w:r>
      <w:r>
        <w:t>S42, A-</w:t>
      </w:r>
      <w:r>
        <w:t xml:space="preserve">160, supplement 2016, Abstracts of the Scientific Posters 2016 AACC Annual Meeting, July 31 – August 4th, Philadelphia. </w:t>
      </w:r>
      <w:hyperlink r:id="rId13">
        <w:r>
          <w:rPr>
            <w:b/>
          </w:rPr>
          <w:t xml:space="preserve"> </w:t>
        </w:r>
      </w:hyperlink>
      <w:hyperlink r:id="rId14">
        <w:r>
          <w:rPr>
            <w:u w:val="single" w:color="000000"/>
          </w:rPr>
          <w:t>http://www.clinchem.org</w:t>
        </w:r>
      </w:hyperlink>
      <w:hyperlink r:id="rId15">
        <w:r>
          <w:t>.</w:t>
        </w:r>
      </w:hyperlink>
      <w:r>
        <w:t xml:space="preserve"> </w:t>
      </w:r>
    </w:p>
    <w:p w:rsidR="0035633B" w:rsidRDefault="007250F6">
      <w:pPr>
        <w:numPr>
          <w:ilvl w:val="0"/>
          <w:numId w:val="3"/>
        </w:numPr>
        <w:ind w:left="1887" w:right="333" w:hanging="341"/>
      </w:pPr>
      <w:r>
        <w:rPr>
          <w:b/>
        </w:rPr>
        <w:t>Cristian Vlad</w:t>
      </w:r>
      <w:r>
        <w:t xml:space="preserve">, Daliborca Vlad, Roxana Popescu, Ivan Pauliuc, Nicoleta Filimon, Adinela Cimporescu, Laura </w:t>
      </w:r>
      <w:r>
        <w:rPr>
          <w:b/>
          <w:sz w:val="28"/>
          <w:vertAlign w:val="superscript"/>
        </w:rPr>
        <w:t xml:space="preserve"> </w:t>
      </w:r>
      <w:r>
        <w:t xml:space="preserve">Gotia, Dorica Botau, Victor Dumitrascu. Determination of antioxidant properties and phenolic content in extracts of </w:t>
      </w:r>
      <w:r>
        <w:rPr>
          <w:b/>
        </w:rPr>
        <w:t xml:space="preserve"> </w:t>
      </w:r>
      <w:r>
        <w:t xml:space="preserve">Momordica </w:t>
      </w:r>
      <w:r>
        <w:t xml:space="preserve">charantia. Journal of Biotechnology. 2014, 185 (108):S108, 0168-1656 </w:t>
      </w:r>
    </w:p>
    <w:p w:rsidR="0035633B" w:rsidRDefault="007250F6">
      <w:pPr>
        <w:numPr>
          <w:ilvl w:val="0"/>
          <w:numId w:val="3"/>
        </w:numPr>
        <w:ind w:left="1887" w:right="333" w:hanging="341"/>
      </w:pPr>
      <w:r>
        <w:rPr>
          <w:b/>
        </w:rPr>
        <w:t>C.Vlad</w:t>
      </w:r>
      <w:r>
        <w:t xml:space="preserve">, D. Vlad, V. Dumitraşcu, A. Matusz., C. Gurban – Beneficial biological effects of coxib therapy on the </w:t>
      </w:r>
      <w:r>
        <w:rPr>
          <w:b/>
        </w:rPr>
        <w:t xml:space="preserve"> </w:t>
      </w:r>
      <w:r>
        <w:t>progression of periodontal disease. Aprospective study in a Romanian clinic</w:t>
      </w:r>
      <w:r>
        <w:t xml:space="preserve">al trial. Clinical Chemistry, supplement </w:t>
      </w:r>
      <w:r>
        <w:rPr>
          <w:b/>
        </w:rPr>
        <w:t xml:space="preserve"> </w:t>
      </w:r>
      <w:r>
        <w:t xml:space="preserve">vol. 58, number S10, October 2012, Abstracts of the Scientific Posters 2012 AACC Annual Meeting, July 15 – 9, </w:t>
      </w:r>
      <w:r>
        <w:rPr>
          <w:b/>
          <w:sz w:val="28"/>
          <w:vertAlign w:val="subscript"/>
        </w:rPr>
        <w:t xml:space="preserve"> </w:t>
      </w:r>
      <w:r>
        <w:t xml:space="preserve">Los Angeles, California. http://www.clinchem.org. </w:t>
      </w:r>
    </w:p>
    <w:p w:rsidR="0035633B" w:rsidRDefault="007250F6">
      <w:pPr>
        <w:numPr>
          <w:ilvl w:val="0"/>
          <w:numId w:val="3"/>
        </w:numPr>
        <w:spacing w:line="342" w:lineRule="auto"/>
        <w:ind w:left="1887" w:right="333" w:hanging="341"/>
      </w:pPr>
      <w:r>
        <w:rPr>
          <w:b/>
        </w:rPr>
        <w:t>C.S. Vlad</w:t>
      </w:r>
      <w:r>
        <w:t>, V. Dumitraşcu, D. C. Vlad, C.V. Gurban, A</w:t>
      </w:r>
      <w:r>
        <w:t xml:space="preserve">. Cheveresan, A. A. Matusz. –Markers of Bone Cells Activity </w:t>
      </w:r>
      <w:r>
        <w:rPr>
          <w:b/>
        </w:rPr>
        <w:t xml:space="preserve"> </w:t>
      </w:r>
      <w:r>
        <w:rPr>
          <w:b/>
        </w:rPr>
        <w:tab/>
      </w:r>
      <w:r>
        <w:t xml:space="preserve">in Periodontal Disease. Clinical Chemistry, Anaheim CA, July 25 – 29, 2010, 56(6):C-06. http://www.clinchem.org. </w:t>
      </w:r>
    </w:p>
    <w:p w:rsidR="0035633B" w:rsidRDefault="007250F6">
      <w:pPr>
        <w:numPr>
          <w:ilvl w:val="0"/>
          <w:numId w:val="3"/>
        </w:numPr>
        <w:spacing w:after="48" w:line="259" w:lineRule="auto"/>
        <w:ind w:left="1887" w:right="333" w:hanging="341"/>
      </w:pPr>
      <w:r>
        <w:t>Vlad D. C., Dumitrascu V., Poenaru D. V., Matusz A. A., Cimporescu A., Gurban C.</w:t>
      </w:r>
      <w:r>
        <w:t xml:space="preserve"> V., </w:t>
      </w:r>
      <w:r>
        <w:rPr>
          <w:b/>
        </w:rPr>
        <w:t>Vlad C.S</w:t>
      </w:r>
      <w:r>
        <w:t xml:space="preserve">., Barac B.G. and </w:t>
      </w:r>
    </w:p>
    <w:p w:rsidR="0035633B" w:rsidRDefault="007250F6">
      <w:pPr>
        <w:ind w:left="1556" w:right="333"/>
      </w:pPr>
      <w:r>
        <w:rPr>
          <w:b/>
          <w:sz w:val="28"/>
          <w:vertAlign w:val="superscript"/>
        </w:rPr>
        <w:t xml:space="preserve"> </w:t>
      </w:r>
      <w:r>
        <w:t xml:space="preserve">Cinaca R. – Infrared spectroscopy of synovial fluid in patients with gonarthrosis treated with etoricoxib. Clinical </w:t>
      </w:r>
      <w:r>
        <w:rPr>
          <w:b/>
          <w:sz w:val="28"/>
          <w:vertAlign w:val="superscript"/>
        </w:rPr>
        <w:t xml:space="preserve"> </w:t>
      </w:r>
      <w:r>
        <w:t>Biochemistry, vol.44, issue 13, 1184-1185 Abstracts of the scientific posters, Canadian Laboratory Medicin</w:t>
      </w:r>
      <w:r>
        <w:t xml:space="preserve">e </w:t>
      </w:r>
      <w:r>
        <w:rPr>
          <w:b/>
        </w:rPr>
        <w:t xml:space="preserve"> </w:t>
      </w:r>
      <w:r>
        <w:t xml:space="preserve">Congress, June 4 – 8, 2011, Vancouver, British Columbia, P560. </w:t>
      </w:r>
    </w:p>
    <w:p w:rsidR="0035633B" w:rsidRDefault="007250F6">
      <w:pPr>
        <w:numPr>
          <w:ilvl w:val="0"/>
          <w:numId w:val="3"/>
        </w:numPr>
        <w:spacing w:after="86"/>
        <w:ind w:left="1887" w:right="333" w:hanging="341"/>
      </w:pPr>
      <w:r>
        <w:t xml:space="preserve">V. Dumitrascu, Daliborca Cristina Vlad, Cristina Gug, Simona Ioana Sipos, Adina Bucur, </w:t>
      </w:r>
      <w:r>
        <w:rPr>
          <w:b/>
        </w:rPr>
        <w:t>Cristian Vlad</w:t>
      </w:r>
      <w:r>
        <w:t xml:space="preserve">, Anca </w:t>
      </w:r>
      <w:r>
        <w:rPr>
          <w:b/>
        </w:rPr>
        <w:t xml:space="preserve"> </w:t>
      </w:r>
      <w:r>
        <w:t>Alexandra Matusz – Efficacy and safety of biophosphonates in a Romanian pediatric</w:t>
      </w:r>
      <w:r>
        <w:t xml:space="preserve"> clinical trial with genetic </w:t>
      </w:r>
      <w:r>
        <w:rPr>
          <w:b/>
        </w:rPr>
        <w:t xml:space="preserve"> </w:t>
      </w:r>
      <w:r>
        <w:t xml:space="preserve">disorders affecting bone mineralization. European Human Genetics Conference, Nurnberg, Germany, June 23 – </w:t>
      </w:r>
      <w:r>
        <w:rPr>
          <w:b/>
          <w:sz w:val="28"/>
          <w:vertAlign w:val="subscript"/>
        </w:rPr>
        <w:t xml:space="preserve"> </w:t>
      </w:r>
      <w:r>
        <w:t xml:space="preserve">26, 2012, P 02.108, pg. 72. European Journal of Human Genetics, 2012 June; 20(Suppl 1): P02.108, ISSN: 1018 </w:t>
      </w:r>
      <w:r>
        <w:rPr>
          <w:b/>
        </w:rPr>
        <w:t xml:space="preserve"> </w:t>
      </w:r>
      <w:r>
        <w:t>4813, EISS</w:t>
      </w:r>
      <w:r>
        <w:t xml:space="preserve">N: 1476 5438, www.nature.com/ejhg.  </w:t>
      </w:r>
    </w:p>
    <w:p w:rsidR="0035633B" w:rsidRDefault="007250F6">
      <w:pPr>
        <w:numPr>
          <w:ilvl w:val="0"/>
          <w:numId w:val="3"/>
        </w:numPr>
        <w:spacing w:after="53"/>
        <w:ind w:left="1887" w:right="333" w:hanging="341"/>
      </w:pPr>
      <w:r>
        <w:t xml:space="preserve">Daliborca Cristina Vlad, Victor Dumitrascu, Cristina Gug, Camelia Gurban, Roxana Popescu, Mihaela Duma, </w:t>
      </w:r>
    </w:p>
    <w:p w:rsidR="0035633B" w:rsidRDefault="007250F6">
      <w:pPr>
        <w:ind w:left="1546" w:right="333" w:firstLine="283"/>
      </w:pPr>
      <w:r>
        <w:rPr>
          <w:b/>
        </w:rPr>
        <w:t>Cristian Sebastian Vlad</w:t>
      </w:r>
      <w:r>
        <w:t xml:space="preserve">, Anca Alexandra Matusz – Gene expression analysis using functional genomics </w:t>
      </w:r>
      <w:r>
        <w:rPr>
          <w:b/>
          <w:sz w:val="28"/>
          <w:vertAlign w:val="superscript"/>
        </w:rPr>
        <w:t xml:space="preserve"> </w:t>
      </w:r>
      <w:r>
        <w:t>techniques. E</w:t>
      </w:r>
      <w:r>
        <w:t xml:space="preserve">uropean Human Genetics Conference, Nurnberg, Germany, June 23 – 26, 2012, P 11.043, pg. 269. </w:t>
      </w:r>
      <w:r>
        <w:rPr>
          <w:b/>
        </w:rPr>
        <w:t xml:space="preserve"> </w:t>
      </w:r>
      <w:r>
        <w:t xml:space="preserve">European Journal of Human Genetics, 2012 June; 20(Suppl 1): P11.043, ISSN: 1018 4813, EISSN: 1476 5438, </w:t>
      </w:r>
      <w:r>
        <w:rPr>
          <w:b/>
        </w:rPr>
        <w:t xml:space="preserve"> </w:t>
      </w:r>
      <w:r>
        <w:t xml:space="preserve">www.nature.com/ejhg.  </w:t>
      </w:r>
    </w:p>
    <w:p w:rsidR="0035633B" w:rsidRDefault="007250F6">
      <w:pPr>
        <w:numPr>
          <w:ilvl w:val="0"/>
          <w:numId w:val="3"/>
        </w:numPr>
        <w:spacing w:after="26"/>
        <w:ind w:left="1887" w:right="333" w:hanging="341"/>
      </w:pPr>
      <w:r>
        <w:t xml:space="preserve">V. Dumitraşcu, Daliborca Cristina Vlad, Adinela Cimporescu, </w:t>
      </w:r>
      <w:r>
        <w:rPr>
          <w:b/>
        </w:rPr>
        <w:t>Cristian Sebastian Vlad</w:t>
      </w:r>
      <w:r>
        <w:t xml:space="preserve">, Beatrice Barac. – Illicit </w:t>
      </w:r>
      <w:r>
        <w:rPr>
          <w:b/>
        </w:rPr>
        <w:t xml:space="preserve"> </w:t>
      </w:r>
      <w:r>
        <w:t xml:space="preserve">drug use in Romania, socio-economic and cultural context. 10th Congress of Toxicologists of Serbia with </w:t>
      </w:r>
      <w:r>
        <w:rPr>
          <w:b/>
        </w:rPr>
        <w:t xml:space="preserve"> </w:t>
      </w:r>
      <w:r>
        <w:t xml:space="preserve">International participation, September </w:t>
      </w:r>
      <w:r>
        <w:t xml:space="preserve">22-25, Palic, Serbia, 2010, Abstract Book, pg. 140.  </w:t>
      </w:r>
    </w:p>
    <w:p w:rsidR="0035633B" w:rsidRDefault="007250F6">
      <w:pPr>
        <w:numPr>
          <w:ilvl w:val="0"/>
          <w:numId w:val="3"/>
        </w:numPr>
        <w:spacing w:after="64"/>
        <w:ind w:left="1887" w:right="333" w:hanging="341"/>
      </w:pPr>
      <w:r>
        <w:t xml:space="preserve">Daliborca Cristina Vlad, Victor Dumitrascu, Cristina Gug, Camelia Vidita Gurban, Beatrice Barac, </w:t>
      </w:r>
      <w:r>
        <w:rPr>
          <w:b/>
        </w:rPr>
        <w:t xml:space="preserve">Cristian  Sebastian Vlad </w:t>
      </w:r>
      <w:r>
        <w:t xml:space="preserve">- </w:t>
      </w:r>
      <w:r>
        <w:t xml:space="preserve">Perspectives in Prenatal Genetic Testing. European Human Genetics Conference, Gothemburg, </w:t>
      </w:r>
    </w:p>
    <w:p w:rsidR="0035633B" w:rsidRDefault="007250F6">
      <w:pPr>
        <w:spacing w:line="332" w:lineRule="auto"/>
        <w:ind w:left="1829" w:right="333" w:hanging="283"/>
      </w:pPr>
      <w:r>
        <w:rPr>
          <w:b/>
        </w:rPr>
        <w:lastRenderedPageBreak/>
        <w:t xml:space="preserve"> </w:t>
      </w:r>
      <w:r>
        <w:t>Sweden, June 12 – 15, 2010, P05.52, pg. 156. European Journal of Human Genetics, 2010 June;18(Suppl 1):P05.52, ISSN: 1018 4813, EISSN: 1476 5438. www.nature.com/ejh</w:t>
      </w:r>
      <w:r>
        <w:t xml:space="preserve">g </w:t>
      </w:r>
    </w:p>
    <w:p w:rsidR="0035633B" w:rsidRDefault="007250F6">
      <w:pPr>
        <w:numPr>
          <w:ilvl w:val="0"/>
          <w:numId w:val="3"/>
        </w:numPr>
        <w:ind w:left="1887" w:right="333" w:hanging="341"/>
      </w:pPr>
      <w:r>
        <w:rPr>
          <w:b/>
        </w:rPr>
        <w:t>Vlad C.,</w:t>
      </w:r>
      <w:r>
        <w:t xml:space="preserve"> Dumitrascu V., Vlad Daliborca Cristina, Gurban Camelia Vidita, Matusz Anca Alexandra, Poenaru D.V., </w:t>
      </w:r>
      <w:r>
        <w:rPr>
          <w:b/>
        </w:rPr>
        <w:t xml:space="preserve"> </w:t>
      </w:r>
      <w:r>
        <w:t xml:space="preserve">Cheveresan Adelina – Bone markers in periodontal disease. Second congress of physiological sciences of Serbia </w:t>
      </w:r>
      <w:r>
        <w:rPr>
          <w:b/>
        </w:rPr>
        <w:t xml:space="preserve"> </w:t>
      </w:r>
      <w:r>
        <w:t>with international participation</w:t>
      </w:r>
      <w:r>
        <w:t xml:space="preserve"> ``Current Trends in Physiological Sciences``with Internationally Recognized Satellite </w:t>
      </w:r>
      <w:r>
        <w:rPr>
          <w:b/>
        </w:rPr>
        <w:t xml:space="preserve"> </w:t>
      </w:r>
      <w:r>
        <w:t>Symposium on Stem Cell Biology, september 17 – 20, Kragujevac, Serbia, 2009. Abstract book, pg. 95, ISBN 978</w:t>
      </w:r>
      <w:r>
        <w:rPr>
          <w:b/>
        </w:rPr>
        <w:t xml:space="preserve"> </w:t>
      </w:r>
      <w:r>
        <w:t xml:space="preserve">86-904799-5-5. </w:t>
      </w:r>
    </w:p>
    <w:p w:rsidR="0035633B" w:rsidRDefault="007250F6">
      <w:pPr>
        <w:numPr>
          <w:ilvl w:val="0"/>
          <w:numId w:val="3"/>
        </w:numPr>
        <w:spacing w:after="59"/>
        <w:ind w:left="1887" w:right="333" w:hanging="341"/>
      </w:pPr>
      <w:r>
        <w:t>Dumitrascu V., Vlad Daliborca Cristina, Gur</w:t>
      </w:r>
      <w:r>
        <w:t xml:space="preserve">ban Camelia Vidita, Cojocaru M., Radulov I., </w:t>
      </w:r>
      <w:r>
        <w:rPr>
          <w:b/>
        </w:rPr>
        <w:t>Vlad C</w:t>
      </w:r>
      <w:r>
        <w:t xml:space="preserve">., Matusz Anca </w:t>
      </w:r>
      <w:r>
        <w:rPr>
          <w:b/>
          <w:sz w:val="28"/>
          <w:vertAlign w:val="subscript"/>
        </w:rPr>
        <w:t xml:space="preserve"> </w:t>
      </w:r>
      <w:r>
        <w:t xml:space="preserve">Alexandra, Poenaru D.V., Patrascu J., Florescu S. – Bone specific alkaline phosphatase – marker of bone turnover </w:t>
      </w:r>
      <w:r>
        <w:rPr>
          <w:b/>
        </w:rPr>
        <w:t xml:space="preserve"> </w:t>
      </w:r>
      <w:r>
        <w:t xml:space="preserve">at patients with osteoarthritis. Second congress of physiological sciences </w:t>
      </w:r>
      <w:r>
        <w:t xml:space="preserve">of Serbia with international participation </w:t>
      </w:r>
    </w:p>
    <w:p w:rsidR="0035633B" w:rsidRDefault="007250F6">
      <w:pPr>
        <w:spacing w:line="314" w:lineRule="auto"/>
        <w:ind w:left="1829" w:right="333" w:hanging="283"/>
      </w:pPr>
      <w:r>
        <w:rPr>
          <w:b/>
        </w:rPr>
        <w:t xml:space="preserve"> </w:t>
      </w:r>
      <w:r>
        <w:t xml:space="preserve">``Current Trends in Physiological Sciences``with Internationally Recognized Satellite Symposium on Stem Cell Biology, september 17 – 20, Kragujevac, Serbia, 2009. Abstract book, pg. 96, ISBN 978-86-904799-5-5. </w:t>
      </w:r>
    </w:p>
    <w:p w:rsidR="0035633B" w:rsidRDefault="007250F6">
      <w:pPr>
        <w:numPr>
          <w:ilvl w:val="0"/>
          <w:numId w:val="3"/>
        </w:numPr>
        <w:spacing w:after="28"/>
        <w:ind w:left="1887" w:right="333" w:hanging="341"/>
      </w:pPr>
      <w:r>
        <w:t xml:space="preserve">Gurban Camelia Vidita, Cojocaru M., Vlad Daliborca Cristina, Dumitrascu V., Radulov I., </w:t>
      </w:r>
      <w:r>
        <w:rPr>
          <w:b/>
        </w:rPr>
        <w:t>Vlad C.,</w:t>
      </w:r>
      <w:r>
        <w:t xml:space="preserve"> Matusz Anca </w:t>
      </w:r>
      <w:r>
        <w:rPr>
          <w:b/>
          <w:sz w:val="28"/>
          <w:vertAlign w:val="superscript"/>
        </w:rPr>
        <w:t xml:space="preserve"> </w:t>
      </w:r>
      <w:r>
        <w:t xml:space="preserve">Alexandra, Poenaru D.V., Patrascu J., Florescu S. – The OPG/RANKL system and zinc ions are promotors of bone </w:t>
      </w:r>
      <w:r>
        <w:rPr>
          <w:b/>
        </w:rPr>
        <w:t xml:space="preserve"> </w:t>
      </w:r>
      <w:r>
        <w:t>remodeling by osteoblast proliferati</w:t>
      </w:r>
      <w:r>
        <w:t xml:space="preserve">on in postmenopausal women. Second congress of physiological sciences of </w:t>
      </w:r>
      <w:r>
        <w:rPr>
          <w:b/>
        </w:rPr>
        <w:t xml:space="preserve"> </w:t>
      </w:r>
      <w:r>
        <w:t xml:space="preserve">Serbia with international participation ``Current Trends in Physiological Sciences``with Internationally Recognized </w:t>
      </w:r>
      <w:r>
        <w:rPr>
          <w:b/>
        </w:rPr>
        <w:t xml:space="preserve"> </w:t>
      </w:r>
      <w:r>
        <w:t>Satellite Symposium on Stem Cell Biology, september 17 – 20, Krag</w:t>
      </w:r>
      <w:r>
        <w:t xml:space="preserve">ujevac, Serbia, 2009. Abstract book, pg. 97, </w:t>
      </w:r>
      <w:r>
        <w:rPr>
          <w:b/>
        </w:rPr>
        <w:t xml:space="preserve"> </w:t>
      </w:r>
      <w:r>
        <w:t xml:space="preserve">ISBN 978-86-904799-5-5. </w:t>
      </w:r>
    </w:p>
    <w:p w:rsidR="0035633B" w:rsidRDefault="007250F6">
      <w:pPr>
        <w:numPr>
          <w:ilvl w:val="0"/>
          <w:numId w:val="3"/>
        </w:numPr>
        <w:spacing w:line="339" w:lineRule="auto"/>
        <w:ind w:left="1887" w:right="333" w:hanging="341"/>
      </w:pPr>
      <w:r>
        <w:t xml:space="preserve">Roxana Popescu, Daliborca Vlad, </w:t>
      </w:r>
      <w:r>
        <w:rPr>
          <w:b/>
        </w:rPr>
        <w:t>Cristian Vlad</w:t>
      </w:r>
      <w:r>
        <w:t xml:space="preserve">, Nicoleta Filimon, Doina Verdes, Csaba Vagvolgyi, Botau </w:t>
      </w:r>
      <w:r>
        <w:rPr>
          <w:b/>
        </w:rPr>
        <w:t xml:space="preserve"> </w:t>
      </w:r>
      <w:r>
        <w:t xml:space="preserve">Dorica, Victor Dumitrascu. Proapoptotic effect of alcoholic extracts of Momordica </w:t>
      </w:r>
      <w:r>
        <w:t xml:space="preserve">Charantia on HepG2 cell line. </w:t>
      </w:r>
    </w:p>
    <w:p w:rsidR="0035633B" w:rsidRDefault="007250F6">
      <w:pPr>
        <w:spacing w:after="0" w:line="259" w:lineRule="auto"/>
        <w:ind w:left="10" w:right="332"/>
        <w:jc w:val="right"/>
      </w:pPr>
      <w:r>
        <w:t xml:space="preserve">Buletin of Romanian Society for Cell, 2015, 43:111, 7th National Congress with International Participation and 33rd </w:t>
      </w:r>
    </w:p>
    <w:p w:rsidR="0035633B" w:rsidRDefault="007250F6">
      <w:pPr>
        <w:spacing w:after="0" w:line="259" w:lineRule="auto"/>
        <w:ind w:left="1561" w:firstLine="0"/>
        <w:jc w:val="left"/>
      </w:pPr>
      <w:r>
        <w:rPr>
          <w:b/>
        </w:rPr>
        <w:t xml:space="preserve"> </w:t>
      </w:r>
    </w:p>
    <w:p w:rsidR="0035633B" w:rsidRDefault="007250F6">
      <w:pPr>
        <w:spacing w:after="48"/>
        <w:ind w:left="1854" w:right="333"/>
      </w:pPr>
      <w:r>
        <w:t xml:space="preserve">Annual Scientific Session of the Romanian Society for Cell Biology, june 2014, Baia-Mare </w:t>
      </w:r>
    </w:p>
    <w:p w:rsidR="0035633B" w:rsidRDefault="007250F6">
      <w:pPr>
        <w:numPr>
          <w:ilvl w:val="0"/>
          <w:numId w:val="3"/>
        </w:numPr>
        <w:ind w:left="1887" w:right="333" w:hanging="341"/>
      </w:pPr>
      <w:r>
        <w:t xml:space="preserve">Roxana Popescu, Daliborca Vlad, </w:t>
      </w:r>
      <w:r>
        <w:rPr>
          <w:b/>
        </w:rPr>
        <w:t>Cristian Vlad</w:t>
      </w:r>
      <w:r>
        <w:t xml:space="preserve">, Ivan Pauliuc, Nicoleta Filimon, Doina Verdes, Victor </w:t>
      </w:r>
    </w:p>
    <w:p w:rsidR="0035633B" w:rsidRDefault="0035633B">
      <w:pPr>
        <w:spacing w:after="0" w:line="259" w:lineRule="auto"/>
        <w:ind w:left="-850" w:right="303" w:firstLine="0"/>
        <w:jc w:val="left"/>
      </w:pPr>
    </w:p>
    <w:tbl>
      <w:tblPr>
        <w:tblStyle w:val="TableGrid"/>
        <w:tblW w:w="9506" w:type="dxa"/>
        <w:tblInd w:w="898" w:type="dxa"/>
        <w:tblCellMar>
          <w:top w:w="0" w:type="dxa"/>
          <w:left w:w="0" w:type="dxa"/>
          <w:bottom w:w="0" w:type="dxa"/>
          <w:right w:w="0" w:type="dxa"/>
        </w:tblCellMar>
        <w:tblLook w:val="04A0" w:firstRow="1" w:lastRow="0" w:firstColumn="1" w:lastColumn="0" w:noHBand="0" w:noVBand="1"/>
      </w:tblPr>
      <w:tblGrid>
        <w:gridCol w:w="946"/>
        <w:gridCol w:w="8560"/>
      </w:tblGrid>
      <w:tr w:rsidR="0035633B">
        <w:trPr>
          <w:trHeight w:val="7042"/>
        </w:trPr>
        <w:tc>
          <w:tcPr>
            <w:tcW w:w="946" w:type="dxa"/>
            <w:tcBorders>
              <w:top w:val="nil"/>
              <w:left w:val="nil"/>
              <w:bottom w:val="nil"/>
              <w:right w:val="nil"/>
            </w:tcBorders>
          </w:tcPr>
          <w:p w:rsidR="0035633B" w:rsidRDefault="007250F6">
            <w:pPr>
              <w:spacing w:after="4" w:line="259" w:lineRule="auto"/>
              <w:ind w:left="430" w:firstLine="0"/>
              <w:jc w:val="center"/>
            </w:pPr>
            <w:r>
              <w:rPr>
                <w:b/>
              </w:rPr>
              <w:lastRenderedPageBreak/>
              <w:t xml:space="preserve"> </w:t>
            </w:r>
          </w:p>
          <w:p w:rsidR="0035633B" w:rsidRDefault="007250F6">
            <w:pPr>
              <w:spacing w:after="4" w:line="259" w:lineRule="auto"/>
              <w:ind w:left="430" w:firstLine="0"/>
              <w:jc w:val="center"/>
            </w:pPr>
            <w:r>
              <w:rPr>
                <w:b/>
              </w:rPr>
              <w:t xml:space="preserve"> </w:t>
            </w:r>
          </w:p>
          <w:p w:rsidR="0035633B" w:rsidRDefault="007250F6">
            <w:pPr>
              <w:spacing w:after="4" w:line="259" w:lineRule="auto"/>
              <w:ind w:left="430" w:firstLine="0"/>
              <w:jc w:val="center"/>
            </w:pPr>
            <w:r>
              <w:rPr>
                <w:b/>
              </w:rPr>
              <w:t xml:space="preserve"> </w:t>
            </w:r>
          </w:p>
          <w:p w:rsidR="0035633B" w:rsidRDefault="007250F6">
            <w:pPr>
              <w:spacing w:after="4" w:line="259" w:lineRule="auto"/>
              <w:ind w:left="430" w:firstLine="0"/>
              <w:jc w:val="center"/>
            </w:pPr>
            <w:r>
              <w:rPr>
                <w:b/>
              </w:rPr>
              <w:t xml:space="preserve"> </w:t>
            </w:r>
          </w:p>
          <w:p w:rsidR="0035633B" w:rsidRDefault="007250F6">
            <w:pPr>
              <w:spacing w:after="4" w:line="259" w:lineRule="auto"/>
              <w:ind w:left="430" w:firstLine="0"/>
              <w:jc w:val="center"/>
            </w:pPr>
            <w:r>
              <w:rPr>
                <w:b/>
              </w:rPr>
              <w:t xml:space="preserve"> </w:t>
            </w:r>
          </w:p>
          <w:p w:rsidR="0035633B" w:rsidRDefault="007250F6">
            <w:pPr>
              <w:spacing w:after="4" w:line="259" w:lineRule="auto"/>
              <w:ind w:left="430" w:firstLine="0"/>
              <w:jc w:val="center"/>
            </w:pPr>
            <w:r>
              <w:rPr>
                <w:b/>
              </w:rPr>
              <w:t xml:space="preserve"> </w:t>
            </w:r>
          </w:p>
          <w:p w:rsidR="0035633B" w:rsidRDefault="007250F6">
            <w:pPr>
              <w:spacing w:after="4" w:line="259" w:lineRule="auto"/>
              <w:ind w:left="430" w:firstLine="0"/>
              <w:jc w:val="center"/>
            </w:pPr>
            <w:r>
              <w:rPr>
                <w:b/>
              </w:rPr>
              <w:t xml:space="preserve"> </w:t>
            </w:r>
          </w:p>
          <w:p w:rsidR="0035633B" w:rsidRDefault="007250F6">
            <w:pPr>
              <w:spacing w:after="4" w:line="259" w:lineRule="auto"/>
              <w:ind w:left="430" w:firstLine="0"/>
              <w:jc w:val="center"/>
            </w:pPr>
            <w:r>
              <w:rPr>
                <w:b/>
              </w:rPr>
              <w:t xml:space="preserve"> </w:t>
            </w:r>
          </w:p>
          <w:p w:rsidR="0035633B" w:rsidRDefault="007250F6">
            <w:pPr>
              <w:spacing w:after="4" w:line="259" w:lineRule="auto"/>
              <w:ind w:left="430" w:firstLine="0"/>
              <w:jc w:val="center"/>
            </w:pPr>
            <w:r>
              <w:rPr>
                <w:b/>
              </w:rPr>
              <w:t xml:space="preserve"> </w:t>
            </w:r>
          </w:p>
          <w:p w:rsidR="0035633B" w:rsidRDefault="007250F6">
            <w:pPr>
              <w:spacing w:after="4" w:line="259" w:lineRule="auto"/>
              <w:ind w:left="430" w:firstLine="0"/>
              <w:jc w:val="center"/>
            </w:pPr>
            <w:r>
              <w:rPr>
                <w:b/>
              </w:rPr>
              <w:t xml:space="preserve"> </w:t>
            </w:r>
          </w:p>
          <w:p w:rsidR="0035633B" w:rsidRDefault="007250F6">
            <w:pPr>
              <w:spacing w:after="4" w:line="259" w:lineRule="auto"/>
              <w:ind w:left="430" w:firstLine="0"/>
              <w:jc w:val="center"/>
            </w:pPr>
            <w:r>
              <w:rPr>
                <w:b/>
              </w:rPr>
              <w:t xml:space="preserve"> </w:t>
            </w:r>
          </w:p>
          <w:p w:rsidR="0035633B" w:rsidRDefault="007250F6">
            <w:pPr>
              <w:spacing w:after="5" w:line="258" w:lineRule="auto"/>
              <w:ind w:left="662" w:right="233" w:firstLine="0"/>
            </w:pPr>
            <w:r>
              <w:rPr>
                <w:b/>
              </w:rPr>
              <w:t xml:space="preserve">  </w:t>
            </w:r>
          </w:p>
          <w:p w:rsidR="0035633B" w:rsidRDefault="007250F6">
            <w:pPr>
              <w:spacing w:after="4" w:line="259" w:lineRule="auto"/>
              <w:ind w:left="430" w:firstLine="0"/>
              <w:jc w:val="center"/>
            </w:pPr>
            <w:r>
              <w:rPr>
                <w:b/>
              </w:rPr>
              <w:t xml:space="preserve"> </w:t>
            </w:r>
          </w:p>
          <w:p w:rsidR="0035633B" w:rsidRDefault="007250F6">
            <w:pPr>
              <w:spacing w:after="4" w:line="259" w:lineRule="auto"/>
              <w:ind w:left="430" w:firstLine="0"/>
              <w:jc w:val="center"/>
            </w:pPr>
            <w:r>
              <w:rPr>
                <w:b/>
              </w:rPr>
              <w:t xml:space="preserve"> </w:t>
            </w:r>
          </w:p>
          <w:p w:rsidR="0035633B" w:rsidRDefault="007250F6">
            <w:pPr>
              <w:spacing w:after="4" w:line="259" w:lineRule="auto"/>
              <w:ind w:left="430" w:firstLine="0"/>
              <w:jc w:val="center"/>
            </w:pPr>
            <w:r>
              <w:rPr>
                <w:b/>
              </w:rPr>
              <w:t xml:space="preserve"> </w:t>
            </w:r>
          </w:p>
          <w:p w:rsidR="0035633B" w:rsidRDefault="007250F6">
            <w:pPr>
              <w:spacing w:after="4" w:line="259" w:lineRule="auto"/>
              <w:ind w:left="430" w:firstLine="0"/>
              <w:jc w:val="center"/>
            </w:pPr>
            <w:r>
              <w:rPr>
                <w:b/>
              </w:rPr>
              <w:t xml:space="preserve"> </w:t>
            </w:r>
          </w:p>
          <w:p w:rsidR="0035633B" w:rsidRDefault="007250F6">
            <w:pPr>
              <w:spacing w:after="4" w:line="259" w:lineRule="auto"/>
              <w:ind w:left="430" w:firstLine="0"/>
              <w:jc w:val="center"/>
            </w:pPr>
            <w:r>
              <w:rPr>
                <w:b/>
              </w:rPr>
              <w:t xml:space="preserve"> </w:t>
            </w:r>
          </w:p>
          <w:p w:rsidR="0035633B" w:rsidRDefault="007250F6">
            <w:pPr>
              <w:spacing w:after="4" w:line="259" w:lineRule="auto"/>
              <w:ind w:left="430" w:firstLine="0"/>
              <w:jc w:val="center"/>
            </w:pPr>
            <w:r>
              <w:rPr>
                <w:b/>
              </w:rPr>
              <w:t xml:space="preserve"> </w:t>
            </w:r>
          </w:p>
          <w:p w:rsidR="0035633B" w:rsidRDefault="007250F6">
            <w:pPr>
              <w:spacing w:after="4" w:line="259" w:lineRule="auto"/>
              <w:ind w:left="430" w:firstLine="0"/>
              <w:jc w:val="center"/>
            </w:pPr>
            <w:r>
              <w:rPr>
                <w:b/>
              </w:rPr>
              <w:t xml:space="preserve"> </w:t>
            </w:r>
          </w:p>
          <w:p w:rsidR="0035633B" w:rsidRDefault="007250F6">
            <w:pPr>
              <w:spacing w:after="4" w:line="259" w:lineRule="auto"/>
              <w:ind w:left="430" w:firstLine="0"/>
              <w:jc w:val="center"/>
            </w:pPr>
            <w:r>
              <w:rPr>
                <w:b/>
              </w:rPr>
              <w:t xml:space="preserve"> </w:t>
            </w:r>
          </w:p>
          <w:p w:rsidR="0035633B" w:rsidRDefault="007250F6">
            <w:pPr>
              <w:spacing w:after="4" w:line="259" w:lineRule="auto"/>
              <w:ind w:left="430" w:firstLine="0"/>
              <w:jc w:val="center"/>
            </w:pPr>
            <w:r>
              <w:rPr>
                <w:b/>
              </w:rPr>
              <w:t xml:space="preserve"> </w:t>
            </w:r>
          </w:p>
          <w:p w:rsidR="0035633B" w:rsidRDefault="007250F6">
            <w:pPr>
              <w:spacing w:after="5" w:line="258" w:lineRule="auto"/>
              <w:ind w:left="662" w:right="233" w:firstLine="0"/>
            </w:pPr>
            <w:r>
              <w:rPr>
                <w:b/>
              </w:rPr>
              <w:t xml:space="preserve">  </w:t>
            </w:r>
          </w:p>
          <w:p w:rsidR="0035633B" w:rsidRDefault="007250F6">
            <w:pPr>
              <w:spacing w:after="4" w:line="259" w:lineRule="auto"/>
              <w:ind w:left="430" w:firstLine="0"/>
              <w:jc w:val="center"/>
            </w:pPr>
            <w:r>
              <w:rPr>
                <w:b/>
              </w:rPr>
              <w:t xml:space="preserve"> </w:t>
            </w:r>
          </w:p>
          <w:p w:rsidR="0035633B" w:rsidRDefault="007250F6">
            <w:pPr>
              <w:spacing w:after="4" w:line="259" w:lineRule="auto"/>
              <w:ind w:left="430" w:firstLine="0"/>
              <w:jc w:val="center"/>
            </w:pPr>
            <w:r>
              <w:rPr>
                <w:b/>
              </w:rPr>
              <w:t xml:space="preserve"> </w:t>
            </w:r>
          </w:p>
          <w:p w:rsidR="0035633B" w:rsidRDefault="007250F6">
            <w:pPr>
              <w:spacing w:after="4" w:line="259" w:lineRule="auto"/>
              <w:ind w:left="430" w:firstLine="0"/>
              <w:jc w:val="center"/>
            </w:pPr>
            <w:r>
              <w:rPr>
                <w:b/>
              </w:rPr>
              <w:t xml:space="preserve"> </w:t>
            </w:r>
          </w:p>
          <w:p w:rsidR="0035633B" w:rsidRDefault="007250F6">
            <w:pPr>
              <w:spacing w:after="4" w:line="259" w:lineRule="auto"/>
              <w:ind w:left="0" w:firstLine="0"/>
              <w:jc w:val="left"/>
            </w:pPr>
            <w:r>
              <w:rPr>
                <w:b/>
              </w:rPr>
              <w:t>Proiecte</w:t>
            </w:r>
            <w:r>
              <w:t xml:space="preserve"> </w:t>
            </w:r>
          </w:p>
          <w:p w:rsidR="0035633B" w:rsidRDefault="007250F6">
            <w:pPr>
              <w:spacing w:after="0" w:line="259" w:lineRule="auto"/>
              <w:ind w:left="430" w:firstLine="0"/>
              <w:jc w:val="center"/>
            </w:pPr>
            <w:r>
              <w:t xml:space="preserve"> </w:t>
            </w:r>
          </w:p>
        </w:tc>
        <w:tc>
          <w:tcPr>
            <w:tcW w:w="8560" w:type="dxa"/>
            <w:tcBorders>
              <w:top w:val="nil"/>
              <w:left w:val="nil"/>
              <w:bottom w:val="nil"/>
              <w:right w:val="nil"/>
            </w:tcBorders>
          </w:tcPr>
          <w:p w:rsidR="0035633B" w:rsidRDefault="007250F6">
            <w:pPr>
              <w:spacing w:after="0" w:line="239" w:lineRule="auto"/>
              <w:ind w:left="0" w:right="48" w:firstLine="0"/>
            </w:pPr>
            <w:r>
              <w:t>Dumitrascu. Antitumor Activity of Momordica Charantia extracts. Buletin of Romanian Society for Cell, 2015, 42:94, 7th National Congress with International Participation and 33rd Annual Scientific Session of the Romanian Society for Cell Biology, june 2014</w:t>
            </w:r>
            <w:r>
              <w:t xml:space="preserve">,Targu Mures </w:t>
            </w:r>
          </w:p>
          <w:p w:rsidR="0035633B" w:rsidRDefault="007250F6">
            <w:pPr>
              <w:numPr>
                <w:ilvl w:val="0"/>
                <w:numId w:val="4"/>
              </w:numPr>
              <w:spacing w:after="0" w:line="237" w:lineRule="auto"/>
              <w:ind w:right="41" w:firstLine="0"/>
            </w:pPr>
            <w:r>
              <w:rPr>
                <w:b/>
              </w:rPr>
              <w:t>Cristian Vlad</w:t>
            </w:r>
            <w:r>
              <w:t>, Daliborca Cristina Vlad, Roxana Popescu, Adina Bucur, Marioara Nicoleta Filimon, Victor Dumitrascu – Cyclooxigenase-2 inhibitors effects in chronic periodontitis. The 5th International Congress and the 31st Annual Scientific Se</w:t>
            </w:r>
            <w:r>
              <w:t xml:space="preserve">sión of Romanian Society for Cell Biology, June 5-9, 2013, Timisoara. Bulletin of Romanian Society for Cell Biology, no. 41, June 2013. </w:t>
            </w:r>
          </w:p>
          <w:p w:rsidR="0035633B" w:rsidRDefault="007250F6">
            <w:pPr>
              <w:numPr>
                <w:ilvl w:val="0"/>
                <w:numId w:val="4"/>
              </w:numPr>
              <w:spacing w:after="0" w:line="238" w:lineRule="auto"/>
              <w:ind w:right="41" w:firstLine="0"/>
            </w:pPr>
            <w:r>
              <w:rPr>
                <w:b/>
              </w:rPr>
              <w:t>Cristian Vlad</w:t>
            </w:r>
            <w:r>
              <w:t>, Daliborca Cristina Vlad, Adina Bucur, Roxana Popescu, Victor Dumitrascu – Cyclooxigenase-2 inhibitor Eto</w:t>
            </w:r>
            <w:r>
              <w:t xml:space="preserve">ricoxib effects in periodontitis. The 5th International Congress and the 31st Annual Scientific Sesión of Romanian Society for Cell Biology, June 5-9, 2013, Timisoara. Bulletin of Romanian Society for Cell Biology, no. 41, June 2013. </w:t>
            </w:r>
          </w:p>
          <w:p w:rsidR="0035633B" w:rsidRDefault="007250F6">
            <w:pPr>
              <w:numPr>
                <w:ilvl w:val="0"/>
                <w:numId w:val="4"/>
              </w:numPr>
              <w:spacing w:after="0" w:line="237" w:lineRule="auto"/>
              <w:ind w:right="41" w:firstLine="0"/>
            </w:pPr>
            <w:r>
              <w:t>Vlad Daliborca Cristi</w:t>
            </w:r>
            <w:r>
              <w:t xml:space="preserve">na, Cimporescu Adinela, Popescu Roxana, Gurban Camelia Vidita, </w:t>
            </w:r>
            <w:r>
              <w:rPr>
                <w:b/>
              </w:rPr>
              <w:t>Vlad Cristian Sebastian</w:t>
            </w:r>
            <w:r>
              <w:t>, Cumpanasoiu Ciceronis, Dumitrascu Victor – Elemental concentration in blood samples collected from a healthy elderly population using stainless steel needels and teflon</w:t>
            </w:r>
            <w:r>
              <w:t xml:space="preserve"> cannula. 7th Conference of the Romanian Association of Medical Laboratories with International participation, 20 - 23 June 2012, Sinaia, Romania, pg. S 28-.</w:t>
            </w:r>
          </w:p>
          <w:p w:rsidR="0035633B" w:rsidRPr="008761E3" w:rsidRDefault="007250F6">
            <w:pPr>
              <w:spacing w:after="0" w:line="259" w:lineRule="auto"/>
              <w:ind w:left="0" w:firstLine="0"/>
              <w:jc w:val="left"/>
              <w:rPr>
                <w:lang w:val="fr-FR"/>
              </w:rPr>
            </w:pPr>
            <w:r w:rsidRPr="008761E3">
              <w:rPr>
                <w:lang w:val="fr-FR"/>
              </w:rPr>
              <w:t xml:space="preserve">Revista romana de medicina de laborator, supliment la vol. 20, Nr. 2/4, Iunie 2012.  </w:t>
            </w:r>
          </w:p>
          <w:p w:rsidR="0035633B" w:rsidRDefault="007250F6">
            <w:pPr>
              <w:numPr>
                <w:ilvl w:val="0"/>
                <w:numId w:val="4"/>
              </w:numPr>
              <w:spacing w:after="0" w:line="238" w:lineRule="auto"/>
              <w:ind w:right="41" w:firstLine="0"/>
            </w:pPr>
            <w:r>
              <w:t>Daliborca Cr</w:t>
            </w:r>
            <w:r>
              <w:t xml:space="preserve">istina Vlad, V. Dumitrascu, Dan V. Poenaru, Camelia Vidita Gurban, Manole Cojocaru, </w:t>
            </w:r>
            <w:r>
              <w:rPr>
                <w:b/>
              </w:rPr>
              <w:t>Cristian Sebastian Vlad</w:t>
            </w:r>
            <w:r>
              <w:t>, Anca Alexandra Matusz, Laura Cernat – The importance of Rheumathoid Factor Isotypes measured in serum and synovial fluid in patients with rheumatoi</w:t>
            </w:r>
            <w:r>
              <w:t xml:space="preserve">d arthritis. Al 8-lea Congres National de Medicina de Laborator cu participare internationala. Al 4-lea congres national al asistentilor medicali, 15 – 17 octombrie, Iasi, Romania, 2009. Abstract book, pg. 52. </w:t>
            </w:r>
          </w:p>
          <w:p w:rsidR="0035633B" w:rsidRDefault="007250F6">
            <w:pPr>
              <w:numPr>
                <w:ilvl w:val="0"/>
                <w:numId w:val="4"/>
              </w:numPr>
              <w:spacing w:after="0" w:line="238" w:lineRule="auto"/>
              <w:ind w:right="41" w:firstLine="0"/>
            </w:pPr>
            <w:r>
              <w:t>V. Dumitrascu, Daliborca Cristina Vlad, Manol</w:t>
            </w:r>
            <w:r>
              <w:t xml:space="preserve">e Cojocaru, </w:t>
            </w:r>
            <w:r>
              <w:rPr>
                <w:b/>
              </w:rPr>
              <w:t>Cristian Sebastian Vlad</w:t>
            </w:r>
            <w:r>
              <w:t>, Camelia Vidita Gurban, Anca Alexandra Matusz, Laura Cernat, Beatrice Barac – NT-ProBNP a marker for cardiovascular adverse events in patients treated with antiinflammatory drugs. Al 8-lea Congres National de Medicina de</w:t>
            </w:r>
            <w:r>
              <w:t xml:space="preserve"> Laborator cu participare internationala. Al 4-lea congres national al asistentilor medicali, 15 – 17 octombrie, Iasi, Romania, 2009. Abstract book, pg. 45-46. </w:t>
            </w:r>
          </w:p>
          <w:p w:rsidR="0035633B" w:rsidRDefault="007250F6">
            <w:pPr>
              <w:numPr>
                <w:ilvl w:val="0"/>
                <w:numId w:val="4"/>
              </w:numPr>
              <w:spacing w:after="0" w:line="236" w:lineRule="auto"/>
              <w:ind w:right="41" w:firstLine="0"/>
            </w:pPr>
            <w:r>
              <w:rPr>
                <w:b/>
              </w:rPr>
              <w:t>Vlad C. S.,</w:t>
            </w:r>
            <w:r>
              <w:t xml:space="preserve"> Vlad Daliborca Cristina, Dumitrascu V., Duma Violeta Alina, Stan Nicoleta, Boariu M</w:t>
            </w:r>
            <w:r>
              <w:t>. – The importance of microbiological examination in antibacterial therapy of periodontal disease. 3rd Millenium Medicine. The International Congress of Medical Days in Banat, 16th Edition, May 10-14, 2011, Timisoara, Romania; Medicine in evolution, vol. X</w:t>
            </w:r>
            <w:r>
              <w:t xml:space="preserve">VII, Nr. 2, Supplement 2011, p. 55-56, ISSN 2065-376X. </w:t>
            </w:r>
          </w:p>
          <w:p w:rsidR="0035633B" w:rsidRDefault="007250F6">
            <w:pPr>
              <w:spacing w:after="0" w:line="259" w:lineRule="auto"/>
              <w:ind w:left="0" w:firstLine="0"/>
              <w:jc w:val="left"/>
            </w:pPr>
            <w:r>
              <w:t xml:space="preserve"> </w:t>
            </w:r>
          </w:p>
          <w:p w:rsidR="0035633B" w:rsidRDefault="007250F6">
            <w:pPr>
              <w:spacing w:after="0" w:line="259" w:lineRule="auto"/>
              <w:ind w:left="0" w:firstLine="0"/>
              <w:jc w:val="left"/>
            </w:pPr>
            <w:r>
              <w:rPr>
                <w:b/>
              </w:rPr>
              <w:t xml:space="preserve"> </w:t>
            </w:r>
          </w:p>
          <w:p w:rsidR="0035633B" w:rsidRDefault="007250F6">
            <w:pPr>
              <w:spacing w:after="0" w:line="259" w:lineRule="auto"/>
              <w:ind w:left="0" w:firstLine="0"/>
            </w:pPr>
            <w:r>
              <w:t xml:space="preserve">Membru în colectiv internațional:  The study of the biologic active compounds from the Momordica Charantia and Viscum Album extracts in order to establish the antitumor therapy, </w:t>
            </w:r>
            <w:r>
              <w:t>PN II Capacitati Bilateral Ungaria 677/2013.</w:t>
            </w:r>
            <w:r>
              <w:rPr>
                <w:sz w:val="16"/>
              </w:rPr>
              <w:t xml:space="preserve"> </w:t>
            </w:r>
          </w:p>
        </w:tc>
      </w:tr>
      <w:tr w:rsidR="0035633B">
        <w:trPr>
          <w:trHeight w:val="1675"/>
        </w:trPr>
        <w:tc>
          <w:tcPr>
            <w:tcW w:w="946" w:type="dxa"/>
            <w:tcBorders>
              <w:top w:val="nil"/>
              <w:left w:val="nil"/>
              <w:bottom w:val="nil"/>
              <w:right w:val="nil"/>
            </w:tcBorders>
          </w:tcPr>
          <w:p w:rsidR="0035633B" w:rsidRDefault="007250F6">
            <w:pPr>
              <w:spacing w:after="4" w:line="259" w:lineRule="auto"/>
              <w:ind w:left="430" w:firstLine="0"/>
              <w:jc w:val="center"/>
            </w:pPr>
            <w:r>
              <w:t xml:space="preserve"> </w:t>
            </w:r>
          </w:p>
          <w:p w:rsidR="0035633B" w:rsidRDefault="007250F6">
            <w:pPr>
              <w:spacing w:after="5" w:line="258" w:lineRule="auto"/>
              <w:ind w:left="663" w:right="233" w:hanging="514"/>
              <w:jc w:val="left"/>
            </w:pPr>
            <w:r>
              <w:rPr>
                <w:b/>
              </w:rPr>
              <w:t>Afilieri</w:t>
            </w:r>
            <w:r>
              <w:t xml:space="preserve">  </w:t>
            </w:r>
          </w:p>
          <w:p w:rsidR="0035633B" w:rsidRDefault="007250F6">
            <w:pPr>
              <w:spacing w:after="0" w:line="259" w:lineRule="auto"/>
              <w:ind w:left="430" w:firstLine="0"/>
              <w:jc w:val="center"/>
            </w:pPr>
            <w:r>
              <w:t xml:space="preserve"> </w:t>
            </w:r>
          </w:p>
        </w:tc>
        <w:tc>
          <w:tcPr>
            <w:tcW w:w="8560" w:type="dxa"/>
            <w:tcBorders>
              <w:top w:val="nil"/>
              <w:left w:val="nil"/>
              <w:bottom w:val="nil"/>
              <w:right w:val="nil"/>
            </w:tcBorders>
          </w:tcPr>
          <w:p w:rsidR="0035633B" w:rsidRDefault="007250F6">
            <w:pPr>
              <w:spacing w:after="0" w:line="259" w:lineRule="auto"/>
              <w:ind w:left="413" w:firstLine="0"/>
              <w:jc w:val="left"/>
            </w:pPr>
            <w:r>
              <w:t xml:space="preserve"> </w:t>
            </w:r>
          </w:p>
          <w:p w:rsidR="0035633B" w:rsidRDefault="007250F6">
            <w:pPr>
              <w:numPr>
                <w:ilvl w:val="0"/>
                <w:numId w:val="5"/>
              </w:numPr>
              <w:spacing w:after="0" w:line="259" w:lineRule="auto"/>
              <w:ind w:left="475" w:hanging="115"/>
              <w:jc w:val="left"/>
            </w:pPr>
            <w:r>
              <w:t xml:space="preserve">CMDR Colegiul Medicilor Dentisti din Romania </w:t>
            </w:r>
          </w:p>
          <w:p w:rsidR="0035633B" w:rsidRDefault="007250F6">
            <w:pPr>
              <w:numPr>
                <w:ilvl w:val="0"/>
                <w:numId w:val="5"/>
              </w:numPr>
              <w:spacing w:after="0" w:line="259" w:lineRule="auto"/>
              <w:ind w:left="475" w:hanging="115"/>
              <w:jc w:val="left"/>
            </w:pPr>
            <w:r>
              <w:t xml:space="preserve">IADR International Association of Dental Research </w:t>
            </w:r>
          </w:p>
          <w:p w:rsidR="0035633B" w:rsidRDefault="007250F6">
            <w:pPr>
              <w:numPr>
                <w:ilvl w:val="0"/>
                <w:numId w:val="5"/>
              </w:numPr>
              <w:spacing w:after="0" w:line="259" w:lineRule="auto"/>
              <w:ind w:left="475" w:hanging="115"/>
              <w:jc w:val="left"/>
            </w:pPr>
            <w:r>
              <w:t xml:space="preserve">Romanian Society of Cell Biology </w:t>
            </w:r>
          </w:p>
          <w:p w:rsidR="0035633B" w:rsidRDefault="007250F6">
            <w:pPr>
              <w:numPr>
                <w:ilvl w:val="0"/>
                <w:numId w:val="5"/>
              </w:numPr>
              <w:spacing w:after="4" w:line="259" w:lineRule="auto"/>
              <w:ind w:left="475" w:hanging="115"/>
              <w:jc w:val="left"/>
            </w:pPr>
            <w:r>
              <w:t xml:space="preserve">Societatea Romana pentru Oligoelemente in Medicina </w:t>
            </w:r>
          </w:p>
          <w:p w:rsidR="0035633B" w:rsidRDefault="007250F6">
            <w:pPr>
              <w:numPr>
                <w:ilvl w:val="0"/>
                <w:numId w:val="5"/>
              </w:numPr>
              <w:spacing w:after="11" w:line="259" w:lineRule="auto"/>
              <w:ind w:left="475" w:hanging="115"/>
              <w:jc w:val="left"/>
            </w:pPr>
            <w:r>
              <w:t xml:space="preserve">Societatea Română de Biomateriale </w:t>
            </w:r>
          </w:p>
          <w:p w:rsidR="0035633B" w:rsidRDefault="007250F6">
            <w:pPr>
              <w:numPr>
                <w:ilvl w:val="0"/>
                <w:numId w:val="5"/>
              </w:numPr>
              <w:spacing w:after="0" w:line="259" w:lineRule="auto"/>
              <w:ind w:left="475" w:hanging="115"/>
              <w:jc w:val="left"/>
            </w:pPr>
            <w:r>
              <w:t xml:space="preserve">AMSPPR Asociația Medicilor Stomatologi cu Practică Privată din România </w:t>
            </w:r>
          </w:p>
          <w:p w:rsidR="0035633B" w:rsidRDefault="007250F6">
            <w:pPr>
              <w:spacing w:after="0" w:line="259" w:lineRule="auto"/>
              <w:ind w:left="360" w:firstLine="0"/>
              <w:jc w:val="left"/>
            </w:pPr>
            <w:r>
              <w:rPr>
                <w:sz w:val="20"/>
              </w:rPr>
              <w:t xml:space="preserve"> </w:t>
            </w:r>
          </w:p>
        </w:tc>
      </w:tr>
      <w:tr w:rsidR="0035633B">
        <w:trPr>
          <w:trHeight w:val="4968"/>
        </w:trPr>
        <w:tc>
          <w:tcPr>
            <w:tcW w:w="946" w:type="dxa"/>
            <w:tcBorders>
              <w:top w:val="nil"/>
              <w:left w:val="nil"/>
              <w:bottom w:val="nil"/>
              <w:right w:val="nil"/>
            </w:tcBorders>
          </w:tcPr>
          <w:p w:rsidR="0035633B" w:rsidRDefault="007250F6">
            <w:pPr>
              <w:spacing w:after="4" w:line="259" w:lineRule="auto"/>
              <w:ind w:left="430" w:firstLine="0"/>
              <w:jc w:val="center"/>
            </w:pPr>
            <w:r>
              <w:lastRenderedPageBreak/>
              <w:t xml:space="preserve"> </w:t>
            </w:r>
          </w:p>
          <w:p w:rsidR="0035633B" w:rsidRDefault="007250F6">
            <w:pPr>
              <w:spacing w:after="4" w:line="259" w:lineRule="auto"/>
              <w:ind w:left="62" w:firstLine="0"/>
              <w:jc w:val="left"/>
            </w:pPr>
            <w:r>
              <w:rPr>
                <w:b/>
              </w:rPr>
              <w:t>Cursuri</w:t>
            </w:r>
            <w:r>
              <w:t xml:space="preserve"> </w:t>
            </w:r>
          </w:p>
          <w:p w:rsidR="0035633B" w:rsidRDefault="007250F6">
            <w:pPr>
              <w:spacing w:after="4" w:line="259" w:lineRule="auto"/>
              <w:ind w:left="430" w:firstLine="0"/>
              <w:jc w:val="center"/>
            </w:pPr>
            <w:r>
              <w:t xml:space="preserve"> </w:t>
            </w:r>
          </w:p>
          <w:p w:rsidR="0035633B" w:rsidRDefault="007250F6">
            <w:pPr>
              <w:spacing w:after="0" w:line="259" w:lineRule="auto"/>
              <w:ind w:left="430" w:firstLine="0"/>
              <w:jc w:val="center"/>
            </w:pPr>
            <w:r>
              <w:t xml:space="preserve"> </w:t>
            </w:r>
          </w:p>
        </w:tc>
        <w:tc>
          <w:tcPr>
            <w:tcW w:w="8560" w:type="dxa"/>
            <w:tcBorders>
              <w:top w:val="nil"/>
              <w:left w:val="nil"/>
              <w:bottom w:val="nil"/>
              <w:right w:val="nil"/>
            </w:tcBorders>
          </w:tcPr>
          <w:p w:rsidR="0035633B" w:rsidRDefault="007250F6">
            <w:pPr>
              <w:spacing w:after="0" w:line="259" w:lineRule="auto"/>
              <w:ind w:left="0" w:firstLine="0"/>
              <w:jc w:val="left"/>
            </w:pPr>
            <w:r>
              <w:rPr>
                <w:b/>
              </w:rPr>
              <w:t xml:space="preserve"> </w:t>
            </w:r>
          </w:p>
          <w:p w:rsidR="0035633B" w:rsidRDefault="007250F6">
            <w:pPr>
              <w:spacing w:after="0" w:line="259" w:lineRule="auto"/>
              <w:ind w:left="116" w:firstLine="0"/>
              <w:jc w:val="left"/>
            </w:pPr>
            <w:r>
              <w:t xml:space="preserve">Cursuri postuniversitare de specialitate: </w:t>
            </w:r>
          </w:p>
          <w:p w:rsidR="0035633B" w:rsidRDefault="007250F6">
            <w:pPr>
              <w:numPr>
                <w:ilvl w:val="0"/>
                <w:numId w:val="6"/>
              </w:numPr>
              <w:spacing w:after="0" w:line="259" w:lineRule="auto"/>
              <w:ind w:firstLine="0"/>
            </w:pPr>
            <w:r>
              <w:t xml:space="preserve">Competence in esthetics 2017 – The joint international symposium on Dental Esthetics </w:t>
            </w:r>
          </w:p>
          <w:p w:rsidR="0035633B" w:rsidRDefault="007250F6">
            <w:pPr>
              <w:numPr>
                <w:ilvl w:val="0"/>
                <w:numId w:val="6"/>
              </w:numPr>
              <w:spacing w:after="11" w:line="259" w:lineRule="auto"/>
              <w:ind w:firstLine="0"/>
            </w:pPr>
            <w:r>
              <w:t xml:space="preserve">Bioremed 2017, 5-7 october 2017, Timișoara </w:t>
            </w:r>
          </w:p>
          <w:p w:rsidR="0035633B" w:rsidRDefault="007250F6">
            <w:pPr>
              <w:numPr>
                <w:ilvl w:val="0"/>
                <w:numId w:val="6"/>
              </w:numPr>
              <w:spacing w:after="0" w:line="259" w:lineRule="auto"/>
              <w:ind w:firstLine="0"/>
            </w:pPr>
            <w:r>
              <w:t xml:space="preserve">Zilele stomatologice bănățene, ed. a XXII, 4-6 mai 2017, Timișoara </w:t>
            </w:r>
          </w:p>
          <w:p w:rsidR="0035633B" w:rsidRPr="008761E3" w:rsidRDefault="007250F6">
            <w:pPr>
              <w:numPr>
                <w:ilvl w:val="0"/>
                <w:numId w:val="6"/>
              </w:numPr>
              <w:spacing w:after="0" w:line="259" w:lineRule="auto"/>
              <w:ind w:firstLine="0"/>
              <w:rPr>
                <w:lang w:val="fr-FR"/>
              </w:rPr>
            </w:pPr>
            <w:r w:rsidRPr="008761E3">
              <w:rPr>
                <w:lang w:val="fr-FR"/>
              </w:rPr>
              <w:t xml:space="preserve">Zilele paroprotetice ale AMSPPR, 2-4 martie 2017, București </w:t>
            </w:r>
          </w:p>
          <w:p w:rsidR="0035633B" w:rsidRDefault="007250F6">
            <w:pPr>
              <w:numPr>
                <w:ilvl w:val="0"/>
                <w:numId w:val="6"/>
              </w:numPr>
              <w:spacing w:after="0" w:line="259" w:lineRule="auto"/>
              <w:ind w:firstLine="0"/>
            </w:pPr>
            <w:r>
              <w:t xml:space="preserve">Study Club Implant Direct Romania, 28 martie 2015 </w:t>
            </w:r>
          </w:p>
          <w:p w:rsidR="0035633B" w:rsidRDefault="007250F6">
            <w:pPr>
              <w:numPr>
                <w:ilvl w:val="0"/>
                <w:numId w:val="6"/>
              </w:numPr>
              <w:spacing w:after="0" w:line="236" w:lineRule="auto"/>
              <w:ind w:firstLine="0"/>
            </w:pPr>
            <w:r>
              <w:t xml:space="preserve">Management performant bazat si pe tehnologia informatiei in medicina dentara, Universitatea de Medicina si Farmacie ``Victor Babes``, Timisoara, 23-25.11.2012 </w:t>
            </w:r>
          </w:p>
          <w:p w:rsidR="0035633B" w:rsidRPr="008761E3" w:rsidRDefault="007250F6">
            <w:pPr>
              <w:numPr>
                <w:ilvl w:val="0"/>
                <w:numId w:val="6"/>
              </w:numPr>
              <w:spacing w:after="5" w:line="236" w:lineRule="auto"/>
              <w:ind w:firstLine="0"/>
              <w:rPr>
                <w:lang w:val="fr-FR"/>
              </w:rPr>
            </w:pPr>
            <w:r w:rsidRPr="008761E3">
              <w:rPr>
                <w:lang w:val="fr-FR"/>
              </w:rPr>
              <w:t>Ergonomie si preventie in medicina dentara prin aliniere la standarde europene, Universitatea de</w:t>
            </w:r>
            <w:r w:rsidRPr="008761E3">
              <w:rPr>
                <w:lang w:val="fr-FR"/>
              </w:rPr>
              <w:t xml:space="preserve"> Medicina si Farmacie ``Victor Babes``, Timisoara, 23-25.11.2012 </w:t>
            </w:r>
          </w:p>
          <w:p w:rsidR="0035633B" w:rsidRPr="008761E3" w:rsidRDefault="007250F6">
            <w:pPr>
              <w:numPr>
                <w:ilvl w:val="0"/>
                <w:numId w:val="6"/>
              </w:numPr>
              <w:spacing w:after="0" w:line="237" w:lineRule="auto"/>
              <w:ind w:firstLine="0"/>
              <w:rPr>
                <w:lang w:val="fr-FR"/>
              </w:rPr>
            </w:pPr>
            <w:r w:rsidRPr="008761E3">
              <w:rPr>
                <w:lang w:val="fr-FR"/>
              </w:rPr>
              <w:t xml:space="preserve">Alimentatia - factor de risc in mentinerea starii de sanatate orala, Centrul de promovare a educatiei sanitare si motivatie a preventiei in stomatologie, 10.10.2012 </w:t>
            </w:r>
          </w:p>
          <w:p w:rsidR="0035633B" w:rsidRDefault="007250F6">
            <w:pPr>
              <w:numPr>
                <w:ilvl w:val="0"/>
                <w:numId w:val="6"/>
              </w:numPr>
              <w:spacing w:after="0" w:line="236" w:lineRule="auto"/>
              <w:ind w:firstLine="0"/>
            </w:pPr>
            <w:r>
              <w:t>Distal extension, bar ov</w:t>
            </w:r>
            <w:r>
              <w:t xml:space="preserve">erdenture, implant overdenture, and root retained attachment systems, Rhein 83, 24.05.2012 </w:t>
            </w:r>
          </w:p>
          <w:p w:rsidR="0035633B" w:rsidRPr="008761E3" w:rsidRDefault="007250F6">
            <w:pPr>
              <w:numPr>
                <w:ilvl w:val="0"/>
                <w:numId w:val="6"/>
              </w:numPr>
              <w:spacing w:after="0" w:line="236" w:lineRule="auto"/>
              <w:ind w:firstLine="0"/>
              <w:rPr>
                <w:lang w:val="fr-FR"/>
              </w:rPr>
            </w:pPr>
            <w:r w:rsidRPr="008761E3">
              <w:rPr>
                <w:lang w:val="fr-FR"/>
              </w:rPr>
              <w:t>Tehnologii de varf in protezarea totala. Infectii nosocomiale primite si donate de laboratoarele de tehnica dentara, Ordinul Tehnicienilor Dentari din Romania, 17-1</w:t>
            </w:r>
            <w:r w:rsidRPr="008761E3">
              <w:rPr>
                <w:lang w:val="fr-FR"/>
              </w:rPr>
              <w:t xml:space="preserve">8 decembrie 2011 </w:t>
            </w:r>
          </w:p>
          <w:p w:rsidR="0035633B" w:rsidRDefault="007250F6">
            <w:pPr>
              <w:numPr>
                <w:ilvl w:val="0"/>
                <w:numId w:val="6"/>
              </w:numPr>
              <w:spacing w:after="5" w:line="236" w:lineRule="auto"/>
              <w:ind w:firstLine="0"/>
            </w:pPr>
            <w:r>
              <w:t xml:space="preserve">Competence in Esthetics 2011, The third joint international east european dental excellence seminar powered by Ivoclar Vivadent, Vienna, Austria, 11-12 November 2011 </w:t>
            </w:r>
          </w:p>
          <w:p w:rsidR="0035633B" w:rsidRDefault="007250F6">
            <w:pPr>
              <w:numPr>
                <w:ilvl w:val="0"/>
                <w:numId w:val="6"/>
              </w:numPr>
              <w:spacing w:after="1" w:line="236" w:lineRule="auto"/>
              <w:ind w:firstLine="0"/>
            </w:pPr>
            <w:r>
              <w:t>Atitudini si tehnici de prim ajutor in situatia accidentelor in cabinet</w:t>
            </w:r>
            <w:r>
              <w:t xml:space="preserve">ul de medicina dentara, Centrul de  - Antibioterapia in chirurgia dento alveolara. Conditionarea aderentilor in tehnicile adezive. Legislatia in medicina dentara, Colegiul Medicilor dentisti din Romania, 5 martie 2011 </w:t>
            </w:r>
          </w:p>
          <w:p w:rsidR="0035633B" w:rsidRDefault="007250F6">
            <w:pPr>
              <w:numPr>
                <w:ilvl w:val="0"/>
                <w:numId w:val="6"/>
              </w:numPr>
              <w:spacing w:after="0" w:line="259" w:lineRule="auto"/>
              <w:ind w:firstLine="0"/>
            </w:pPr>
            <w:r>
              <w:t>Workshop - fluorapatite glass – ceram</w:t>
            </w:r>
            <w:r>
              <w:t xml:space="preserve">ic on metal – Advanced course, Ivoclar, Schaan, Liechtenstein, 12-14.02.2003 </w:t>
            </w:r>
          </w:p>
        </w:tc>
      </w:tr>
    </w:tbl>
    <w:p w:rsidR="0035633B" w:rsidRDefault="007250F6">
      <w:pPr>
        <w:numPr>
          <w:ilvl w:val="1"/>
          <w:numId w:val="3"/>
        </w:numPr>
        <w:ind w:right="333" w:hanging="154"/>
      </w:pPr>
      <w:r>
        <w:t xml:space="preserve">Theoretical  and Practical Training course of Heraceram and standard layering, Heraeus Kulzer, Hanau,Germany, 16 - 17.12.2002   </w:t>
      </w:r>
    </w:p>
    <w:p w:rsidR="0035633B" w:rsidRDefault="007250F6">
      <w:pPr>
        <w:numPr>
          <w:ilvl w:val="1"/>
          <w:numId w:val="3"/>
        </w:numPr>
        <w:ind w:right="333" w:hanging="154"/>
      </w:pPr>
      <w:r>
        <w:t xml:space="preserve">2nd International Oral Implantology Course, University of Medicine and Pharmacy “Victor Babes” </w:t>
      </w:r>
    </w:p>
    <w:p w:rsidR="0035633B" w:rsidRDefault="007250F6">
      <w:pPr>
        <w:ind w:left="1969" w:right="333"/>
      </w:pPr>
      <w:r>
        <w:t xml:space="preserve">School of Dentistry, Department of Oral Implantology Timisoara, Romania, 18–19.10.2002 </w:t>
      </w:r>
    </w:p>
    <w:p w:rsidR="0035633B" w:rsidRDefault="007250F6">
      <w:pPr>
        <w:numPr>
          <w:ilvl w:val="1"/>
          <w:numId w:val="3"/>
        </w:numPr>
        <w:ind w:right="333" w:hanging="154"/>
      </w:pPr>
      <w:r>
        <w:t xml:space="preserve">Geschiebekurs Vario soft 3, Bredent, Senden, Germany, 02-04.11.2001 </w:t>
      </w:r>
    </w:p>
    <w:p w:rsidR="0035633B" w:rsidRDefault="007250F6">
      <w:pPr>
        <w:spacing w:after="0" w:line="259" w:lineRule="auto"/>
        <w:ind w:left="1844" w:firstLine="0"/>
        <w:jc w:val="left"/>
      </w:pPr>
      <w:r>
        <w:t xml:space="preserve"> </w:t>
      </w:r>
    </w:p>
    <w:p w:rsidR="0035633B" w:rsidRDefault="007250F6">
      <w:pPr>
        <w:spacing w:after="0" w:line="259" w:lineRule="auto"/>
        <w:ind w:left="1959" w:firstLine="0"/>
        <w:jc w:val="left"/>
      </w:pPr>
      <w:r>
        <w:t xml:space="preserve"> </w:t>
      </w:r>
    </w:p>
    <w:p w:rsidR="0035633B" w:rsidRDefault="007250F6">
      <w:pPr>
        <w:spacing w:after="0" w:line="259" w:lineRule="auto"/>
        <w:ind w:left="1959" w:firstLine="0"/>
        <w:jc w:val="left"/>
      </w:pPr>
      <w:r>
        <w:t xml:space="preserve"> </w:t>
      </w:r>
    </w:p>
    <w:p w:rsidR="0035633B" w:rsidRDefault="007250F6">
      <w:pPr>
        <w:spacing w:after="0" w:line="259" w:lineRule="auto"/>
        <w:ind w:left="1959" w:firstLine="0"/>
        <w:jc w:val="left"/>
      </w:pPr>
      <w:r>
        <w:t xml:space="preserve"> </w:t>
      </w:r>
    </w:p>
    <w:p w:rsidR="0035633B" w:rsidRDefault="007250F6">
      <w:pPr>
        <w:spacing w:after="2" w:line="259" w:lineRule="auto"/>
        <w:ind w:left="1959" w:firstLine="0"/>
        <w:jc w:val="left"/>
      </w:pPr>
      <w:r>
        <w:t xml:space="preserve"> </w:t>
      </w:r>
    </w:p>
    <w:p w:rsidR="0035633B" w:rsidRDefault="007250F6">
      <w:pPr>
        <w:spacing w:after="29" w:line="259" w:lineRule="auto"/>
        <w:ind w:left="1561" w:firstLine="0"/>
        <w:jc w:val="left"/>
      </w:pPr>
      <w:r>
        <w:t xml:space="preserve"> </w:t>
      </w:r>
      <w:r>
        <w:tab/>
      </w:r>
      <w:r>
        <w:rPr>
          <w:b/>
        </w:rPr>
        <w:t xml:space="preserve"> </w:t>
      </w:r>
    </w:p>
    <w:p w:rsidR="0035633B" w:rsidRDefault="007250F6">
      <w:pPr>
        <w:spacing w:after="29" w:line="259" w:lineRule="auto"/>
        <w:ind w:left="1561" w:firstLine="0"/>
        <w:jc w:val="left"/>
      </w:pPr>
      <w:r>
        <w:t xml:space="preserve"> </w:t>
      </w:r>
      <w:r>
        <w:tab/>
      </w:r>
      <w:r>
        <w:rPr>
          <w:b/>
        </w:rPr>
        <w:t xml:space="preserve"> </w:t>
      </w:r>
    </w:p>
    <w:p w:rsidR="0035633B" w:rsidRDefault="007250F6">
      <w:pPr>
        <w:spacing w:after="0" w:line="259" w:lineRule="auto"/>
        <w:ind w:left="1561" w:firstLine="0"/>
        <w:jc w:val="left"/>
      </w:pPr>
      <w:r>
        <w:t xml:space="preserve"> </w:t>
      </w:r>
      <w:r>
        <w:tab/>
      </w:r>
      <w:r>
        <w:rPr>
          <w:b/>
        </w:rPr>
        <w:t xml:space="preserve"> </w:t>
      </w:r>
    </w:p>
    <w:p w:rsidR="0035633B" w:rsidRDefault="007250F6">
      <w:pPr>
        <w:spacing w:after="0" w:line="259" w:lineRule="auto"/>
        <w:ind w:left="0" w:firstLine="0"/>
        <w:jc w:val="left"/>
      </w:pPr>
      <w:r>
        <w:rPr>
          <w:sz w:val="16"/>
        </w:rPr>
        <w:t xml:space="preserve"> </w:t>
      </w:r>
    </w:p>
    <w:p w:rsidR="0035633B" w:rsidRDefault="007250F6">
      <w:pPr>
        <w:spacing w:after="0" w:line="259" w:lineRule="auto"/>
        <w:ind w:left="0" w:right="281" w:firstLine="0"/>
        <w:jc w:val="right"/>
      </w:pPr>
      <w:r>
        <w:rPr>
          <w:sz w:val="16"/>
        </w:rPr>
        <w:t xml:space="preserve"> </w:t>
      </w:r>
    </w:p>
    <w:p w:rsidR="0035633B" w:rsidRDefault="007250F6">
      <w:pPr>
        <w:spacing w:after="0" w:line="259" w:lineRule="auto"/>
        <w:ind w:left="0" w:right="281" w:firstLine="0"/>
        <w:jc w:val="right"/>
      </w:pPr>
      <w:r>
        <w:rPr>
          <w:sz w:val="16"/>
        </w:rPr>
        <w:t xml:space="preserve"> </w:t>
      </w:r>
    </w:p>
    <w:p w:rsidR="0035633B" w:rsidRDefault="007250F6">
      <w:pPr>
        <w:spacing w:after="0" w:line="247" w:lineRule="auto"/>
        <w:ind w:left="0" w:right="281" w:firstLine="0"/>
        <w:jc w:val="left"/>
      </w:pPr>
      <w:r>
        <w:rPr>
          <w:sz w:val="16"/>
        </w:rPr>
        <w:t xml:space="preserve"> </w:t>
      </w:r>
      <w:r>
        <w:rPr>
          <w:color w:val="3F3A38"/>
          <w:sz w:val="16"/>
        </w:rPr>
        <w:t xml:space="preserve"> </w:t>
      </w:r>
    </w:p>
    <w:sectPr w:rsidR="0035633B">
      <w:headerReference w:type="even" r:id="rId16"/>
      <w:headerReference w:type="default" r:id="rId17"/>
      <w:footerReference w:type="even" r:id="rId18"/>
      <w:footerReference w:type="default" r:id="rId19"/>
      <w:headerReference w:type="first" r:id="rId20"/>
      <w:footerReference w:type="first" r:id="rId21"/>
      <w:pgSz w:w="11904" w:h="16838"/>
      <w:pgMar w:top="1640" w:right="347" w:bottom="1513" w:left="850" w:header="850" w:footer="6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50F6" w:rsidRDefault="007250F6">
      <w:pPr>
        <w:spacing w:after="0" w:line="240" w:lineRule="auto"/>
      </w:pPr>
      <w:r>
        <w:separator/>
      </w:r>
    </w:p>
  </w:endnote>
  <w:endnote w:type="continuationSeparator" w:id="0">
    <w:p w:rsidR="007250F6" w:rsidRDefault="00725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33B" w:rsidRDefault="007250F6">
    <w:pPr>
      <w:tabs>
        <w:tab w:val="center" w:pos="4849"/>
        <w:tab w:val="center" w:pos="10039"/>
      </w:tabs>
      <w:spacing w:after="0" w:line="259" w:lineRule="auto"/>
      <w:ind w:left="0" w:firstLine="0"/>
      <w:jc w:val="left"/>
    </w:pPr>
    <w:r>
      <w:rPr>
        <w:color w:val="26B4EA"/>
        <w:sz w:val="14"/>
      </w:rPr>
      <w:t xml:space="preserve"> </w:t>
    </w:r>
    <w:r>
      <w:rPr>
        <w:color w:val="26B4EA"/>
        <w:sz w:val="14"/>
      </w:rPr>
      <w:tab/>
      <w:t xml:space="preserve"> </w:t>
    </w:r>
    <w:r>
      <w:rPr>
        <w:color w:val="1593CB"/>
        <w:sz w:val="14"/>
      </w:rPr>
      <w:t xml:space="preserve">© Uniunea Europeană, 2002-2013 | http://europass.cedefop.europa.eu  </w:t>
    </w:r>
    <w:r>
      <w:rPr>
        <w:color w:val="1593CB"/>
        <w:sz w:val="14"/>
      </w:rPr>
      <w:tab/>
      <w:t xml:space="preserve">Pagina </w:t>
    </w:r>
    <w:r>
      <w:rPr>
        <w:color w:val="1593CB"/>
        <w:sz w:val="14"/>
      </w:rPr>
      <w:fldChar w:fldCharType="begin"/>
    </w:r>
    <w:r>
      <w:rPr>
        <w:color w:val="1593CB"/>
        <w:sz w:val="14"/>
      </w:rPr>
      <w:instrText xml:space="preserve"> PAGE   \* MERGEFORMAT </w:instrText>
    </w:r>
    <w:r>
      <w:rPr>
        <w:color w:val="1593CB"/>
        <w:sz w:val="14"/>
      </w:rPr>
      <w:fldChar w:fldCharType="separate"/>
    </w:r>
    <w:r>
      <w:rPr>
        <w:color w:val="1593CB"/>
        <w:sz w:val="14"/>
      </w:rPr>
      <w:t>1</w:t>
    </w:r>
    <w:r>
      <w:rPr>
        <w:color w:val="1593CB"/>
        <w:sz w:val="14"/>
      </w:rPr>
      <w:fldChar w:fldCharType="end"/>
    </w:r>
    <w:r>
      <w:rPr>
        <w:color w:val="1593CB"/>
        <w:sz w:val="14"/>
      </w:rPr>
      <w:t xml:space="preserve"> / </w:t>
    </w:r>
    <w:r>
      <w:rPr>
        <w:color w:val="1593CB"/>
        <w:sz w:val="14"/>
      </w:rPr>
      <w:fldChar w:fldCharType="begin"/>
    </w:r>
    <w:r>
      <w:rPr>
        <w:color w:val="1593CB"/>
        <w:sz w:val="14"/>
      </w:rPr>
      <w:instrText xml:space="preserve"> NUMPAGES   \* MERGEFORMAT </w:instrText>
    </w:r>
    <w:r>
      <w:rPr>
        <w:color w:val="1593CB"/>
        <w:sz w:val="14"/>
      </w:rPr>
      <w:fldChar w:fldCharType="separate"/>
    </w:r>
    <w:r>
      <w:rPr>
        <w:color w:val="1593CB"/>
        <w:sz w:val="14"/>
      </w:rPr>
      <w:t>6</w:t>
    </w:r>
    <w:r>
      <w:rPr>
        <w:color w:val="1593CB"/>
        <w:sz w:val="14"/>
      </w:rPr>
      <w:fldChar w:fldCharType="end"/>
    </w:r>
    <w:r>
      <w:rPr>
        <w:color w:val="26B4EA"/>
        <w:sz w:val="14"/>
      </w:rPr>
      <w:t xml:space="preserve"> </w:t>
    </w:r>
    <w:r>
      <w:rPr>
        <w:color w:val="1593CB"/>
        <w:sz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33B" w:rsidRDefault="007250F6">
    <w:pPr>
      <w:tabs>
        <w:tab w:val="center" w:pos="4849"/>
        <w:tab w:val="center" w:pos="10039"/>
      </w:tabs>
      <w:spacing w:after="0" w:line="259" w:lineRule="auto"/>
      <w:ind w:left="0" w:firstLine="0"/>
      <w:jc w:val="left"/>
    </w:pPr>
    <w:r>
      <w:rPr>
        <w:color w:val="26B4EA"/>
        <w:sz w:val="14"/>
      </w:rPr>
      <w:t xml:space="preserve"> </w:t>
    </w:r>
    <w:r>
      <w:rPr>
        <w:color w:val="26B4EA"/>
        <w:sz w:val="14"/>
      </w:rPr>
      <w:tab/>
      <w:t xml:space="preserve"> </w:t>
    </w:r>
    <w:r>
      <w:rPr>
        <w:color w:val="1593CB"/>
        <w:sz w:val="14"/>
      </w:rPr>
      <w:t xml:space="preserve">© Uniunea Europeană, 2002-2013 | http://europass.cedefop.europa.eu  </w:t>
    </w:r>
    <w:r>
      <w:rPr>
        <w:color w:val="1593CB"/>
        <w:sz w:val="14"/>
      </w:rPr>
      <w:tab/>
      <w:t xml:space="preserve">Pagina </w:t>
    </w:r>
    <w:r>
      <w:rPr>
        <w:color w:val="1593CB"/>
        <w:sz w:val="14"/>
      </w:rPr>
      <w:fldChar w:fldCharType="begin"/>
    </w:r>
    <w:r>
      <w:rPr>
        <w:color w:val="1593CB"/>
        <w:sz w:val="14"/>
      </w:rPr>
      <w:instrText xml:space="preserve"> PAGE   \* MERGEFORMAT </w:instrText>
    </w:r>
    <w:r>
      <w:rPr>
        <w:color w:val="1593CB"/>
        <w:sz w:val="14"/>
      </w:rPr>
      <w:fldChar w:fldCharType="separate"/>
    </w:r>
    <w:r w:rsidR="008761E3">
      <w:rPr>
        <w:noProof/>
        <w:color w:val="1593CB"/>
        <w:sz w:val="14"/>
      </w:rPr>
      <w:t>1</w:t>
    </w:r>
    <w:r>
      <w:rPr>
        <w:color w:val="1593CB"/>
        <w:sz w:val="14"/>
      </w:rPr>
      <w:fldChar w:fldCharType="end"/>
    </w:r>
    <w:r>
      <w:rPr>
        <w:color w:val="1593CB"/>
        <w:sz w:val="14"/>
      </w:rPr>
      <w:t xml:space="preserve"> / </w:t>
    </w:r>
    <w:r>
      <w:rPr>
        <w:color w:val="1593CB"/>
        <w:sz w:val="14"/>
      </w:rPr>
      <w:fldChar w:fldCharType="begin"/>
    </w:r>
    <w:r>
      <w:rPr>
        <w:color w:val="1593CB"/>
        <w:sz w:val="14"/>
      </w:rPr>
      <w:instrText xml:space="preserve"> NUMP</w:instrText>
    </w:r>
    <w:r>
      <w:rPr>
        <w:color w:val="1593CB"/>
        <w:sz w:val="14"/>
      </w:rPr>
      <w:instrText xml:space="preserve">AGES   \* MERGEFORMAT </w:instrText>
    </w:r>
    <w:r>
      <w:rPr>
        <w:color w:val="1593CB"/>
        <w:sz w:val="14"/>
      </w:rPr>
      <w:fldChar w:fldCharType="separate"/>
    </w:r>
    <w:r w:rsidR="008761E3">
      <w:rPr>
        <w:noProof/>
        <w:color w:val="1593CB"/>
        <w:sz w:val="14"/>
      </w:rPr>
      <w:t>8</w:t>
    </w:r>
    <w:r>
      <w:rPr>
        <w:color w:val="1593CB"/>
        <w:sz w:val="14"/>
      </w:rPr>
      <w:fldChar w:fldCharType="end"/>
    </w:r>
    <w:r>
      <w:rPr>
        <w:color w:val="26B4EA"/>
        <w:sz w:val="14"/>
      </w:rPr>
      <w:t xml:space="preserve"> </w:t>
    </w:r>
    <w:r>
      <w:rPr>
        <w:color w:val="1593CB"/>
        <w:sz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33B" w:rsidRDefault="007250F6">
    <w:pPr>
      <w:tabs>
        <w:tab w:val="center" w:pos="4849"/>
        <w:tab w:val="center" w:pos="10039"/>
      </w:tabs>
      <w:spacing w:after="0" w:line="259" w:lineRule="auto"/>
      <w:ind w:left="0" w:firstLine="0"/>
      <w:jc w:val="left"/>
    </w:pPr>
    <w:r>
      <w:rPr>
        <w:color w:val="26B4EA"/>
        <w:sz w:val="14"/>
      </w:rPr>
      <w:t xml:space="preserve"> </w:t>
    </w:r>
    <w:r>
      <w:rPr>
        <w:color w:val="26B4EA"/>
        <w:sz w:val="14"/>
      </w:rPr>
      <w:tab/>
      <w:t xml:space="preserve"> </w:t>
    </w:r>
    <w:r>
      <w:rPr>
        <w:color w:val="1593CB"/>
        <w:sz w:val="14"/>
      </w:rPr>
      <w:t xml:space="preserve">© Uniunea Europeană, 2002-2013 | http://europass.cedefop.europa.eu  </w:t>
    </w:r>
    <w:r>
      <w:rPr>
        <w:color w:val="1593CB"/>
        <w:sz w:val="14"/>
      </w:rPr>
      <w:tab/>
      <w:t xml:space="preserve">Pagina </w:t>
    </w:r>
    <w:r>
      <w:rPr>
        <w:color w:val="1593CB"/>
        <w:sz w:val="14"/>
      </w:rPr>
      <w:fldChar w:fldCharType="begin"/>
    </w:r>
    <w:r>
      <w:rPr>
        <w:color w:val="1593CB"/>
        <w:sz w:val="14"/>
      </w:rPr>
      <w:instrText xml:space="preserve"> PAGE   \* MERGEFORMAT </w:instrText>
    </w:r>
    <w:r>
      <w:rPr>
        <w:color w:val="1593CB"/>
        <w:sz w:val="14"/>
      </w:rPr>
      <w:fldChar w:fldCharType="separate"/>
    </w:r>
    <w:r>
      <w:rPr>
        <w:color w:val="1593CB"/>
        <w:sz w:val="14"/>
      </w:rPr>
      <w:t>1</w:t>
    </w:r>
    <w:r>
      <w:rPr>
        <w:color w:val="1593CB"/>
        <w:sz w:val="14"/>
      </w:rPr>
      <w:fldChar w:fldCharType="end"/>
    </w:r>
    <w:r>
      <w:rPr>
        <w:color w:val="1593CB"/>
        <w:sz w:val="14"/>
      </w:rPr>
      <w:t xml:space="preserve"> / </w:t>
    </w:r>
    <w:r>
      <w:rPr>
        <w:color w:val="1593CB"/>
        <w:sz w:val="14"/>
      </w:rPr>
      <w:fldChar w:fldCharType="begin"/>
    </w:r>
    <w:r>
      <w:rPr>
        <w:color w:val="1593CB"/>
        <w:sz w:val="14"/>
      </w:rPr>
      <w:instrText xml:space="preserve"> NUMPAGES   \* MERGEFORMAT </w:instrText>
    </w:r>
    <w:r>
      <w:rPr>
        <w:color w:val="1593CB"/>
        <w:sz w:val="14"/>
      </w:rPr>
      <w:fldChar w:fldCharType="separate"/>
    </w:r>
    <w:r>
      <w:rPr>
        <w:color w:val="1593CB"/>
        <w:sz w:val="14"/>
      </w:rPr>
      <w:t>6</w:t>
    </w:r>
    <w:r>
      <w:rPr>
        <w:color w:val="1593CB"/>
        <w:sz w:val="14"/>
      </w:rPr>
      <w:fldChar w:fldCharType="end"/>
    </w:r>
    <w:r>
      <w:rPr>
        <w:color w:val="26B4EA"/>
        <w:sz w:val="14"/>
      </w:rPr>
      <w:t xml:space="preserve"> </w:t>
    </w:r>
    <w:r>
      <w:rPr>
        <w:color w:val="1593CB"/>
        <w:sz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50F6" w:rsidRDefault="007250F6">
      <w:pPr>
        <w:spacing w:after="0" w:line="240" w:lineRule="auto"/>
      </w:pPr>
      <w:r>
        <w:separator/>
      </w:r>
    </w:p>
  </w:footnote>
  <w:footnote w:type="continuationSeparator" w:id="0">
    <w:p w:rsidR="007250F6" w:rsidRDefault="007250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33B" w:rsidRDefault="007250F6">
    <w:pPr>
      <w:tabs>
        <w:tab w:val="center" w:pos="5566"/>
        <w:tab w:val="center" w:pos="7011"/>
        <w:tab w:val="center" w:pos="9395"/>
      </w:tabs>
      <w:spacing w:after="0" w:line="259" w:lineRule="auto"/>
      <w:ind w:left="0" w:firstLine="0"/>
      <w:jc w:val="left"/>
    </w:pPr>
    <w:r>
      <w:rPr>
        <w:noProof/>
      </w:rPr>
      <w:drawing>
        <wp:anchor distT="0" distB="0" distL="114300" distR="114300" simplePos="0" relativeHeight="251658240" behindDoc="0" locked="0" layoutInCell="1" allowOverlap="0">
          <wp:simplePos x="0" y="0"/>
          <wp:positionH relativeFrom="page">
            <wp:posOffset>539750</wp:posOffset>
          </wp:positionH>
          <wp:positionV relativeFrom="page">
            <wp:posOffset>539750</wp:posOffset>
          </wp:positionV>
          <wp:extent cx="992505" cy="287020"/>
          <wp:effectExtent l="0" t="0" r="0" b="0"/>
          <wp:wrapSquare wrapText="bothSides"/>
          <wp:docPr id="30" name="Picture 30"/>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992505" cy="287020"/>
                  </a:xfrm>
                  <a:prstGeom prst="rect">
                    <a:avLst/>
                  </a:prstGeom>
                </pic:spPr>
              </pic:pic>
            </a:graphicData>
          </a:graphic>
        </wp:anchor>
      </w:drawing>
    </w:r>
    <w:r>
      <w:rPr>
        <w:color w:val="1593CB"/>
        <w:sz w:val="20"/>
      </w:rPr>
      <w:tab/>
      <w:t xml:space="preserve">  </w:t>
    </w:r>
    <w:r>
      <w:rPr>
        <w:color w:val="1593CB"/>
        <w:sz w:val="20"/>
      </w:rPr>
      <w:tab/>
      <w:t xml:space="preserve"> Curriculum Vitae  </w:t>
    </w:r>
    <w:r>
      <w:rPr>
        <w:color w:val="1593CB"/>
        <w:sz w:val="20"/>
      </w:rPr>
      <w:tab/>
      <w:t xml:space="preserve">Vlad Cristian Sebastian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33B" w:rsidRDefault="007250F6">
    <w:pPr>
      <w:tabs>
        <w:tab w:val="center" w:pos="5566"/>
        <w:tab w:val="center" w:pos="7011"/>
        <w:tab w:val="center" w:pos="9395"/>
      </w:tabs>
      <w:spacing w:after="0" w:line="259" w:lineRule="auto"/>
      <w:ind w:left="0" w:firstLine="0"/>
      <w:jc w:val="left"/>
    </w:pPr>
    <w:r>
      <w:rPr>
        <w:noProof/>
      </w:rPr>
      <w:drawing>
        <wp:anchor distT="0" distB="0" distL="114300" distR="114300" simplePos="0" relativeHeight="251659264" behindDoc="0" locked="0" layoutInCell="1" allowOverlap="0">
          <wp:simplePos x="0" y="0"/>
          <wp:positionH relativeFrom="page">
            <wp:posOffset>539750</wp:posOffset>
          </wp:positionH>
          <wp:positionV relativeFrom="page">
            <wp:posOffset>539750</wp:posOffset>
          </wp:positionV>
          <wp:extent cx="992505" cy="287020"/>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992505" cy="287020"/>
                  </a:xfrm>
                  <a:prstGeom prst="rect">
                    <a:avLst/>
                  </a:prstGeom>
                </pic:spPr>
              </pic:pic>
            </a:graphicData>
          </a:graphic>
        </wp:anchor>
      </w:drawing>
    </w:r>
    <w:r>
      <w:rPr>
        <w:color w:val="1593CB"/>
        <w:sz w:val="20"/>
      </w:rPr>
      <w:tab/>
      <w:t xml:space="preserve">  </w:t>
    </w:r>
    <w:r>
      <w:rPr>
        <w:color w:val="1593CB"/>
        <w:sz w:val="20"/>
      </w:rPr>
      <w:tab/>
      <w:t xml:space="preserve"> Curriculum Vitae  </w:t>
    </w:r>
    <w:r>
      <w:rPr>
        <w:color w:val="1593CB"/>
        <w:sz w:val="20"/>
      </w:rPr>
      <w:tab/>
      <w:t xml:space="preserve">Vlad Cristian Sebastian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33B" w:rsidRDefault="007250F6">
    <w:pPr>
      <w:tabs>
        <w:tab w:val="center" w:pos="5566"/>
        <w:tab w:val="center" w:pos="7011"/>
        <w:tab w:val="center" w:pos="9395"/>
      </w:tabs>
      <w:spacing w:after="0" w:line="259" w:lineRule="auto"/>
      <w:ind w:left="0" w:firstLine="0"/>
      <w:jc w:val="left"/>
    </w:pPr>
    <w:r>
      <w:rPr>
        <w:noProof/>
      </w:rPr>
      <w:drawing>
        <wp:anchor distT="0" distB="0" distL="114300" distR="114300" simplePos="0" relativeHeight="251660288" behindDoc="0" locked="0" layoutInCell="1" allowOverlap="0">
          <wp:simplePos x="0" y="0"/>
          <wp:positionH relativeFrom="page">
            <wp:posOffset>539750</wp:posOffset>
          </wp:positionH>
          <wp:positionV relativeFrom="page">
            <wp:posOffset>539750</wp:posOffset>
          </wp:positionV>
          <wp:extent cx="992505" cy="287020"/>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992505" cy="287020"/>
                  </a:xfrm>
                  <a:prstGeom prst="rect">
                    <a:avLst/>
                  </a:prstGeom>
                </pic:spPr>
              </pic:pic>
            </a:graphicData>
          </a:graphic>
        </wp:anchor>
      </w:drawing>
    </w:r>
    <w:r>
      <w:rPr>
        <w:color w:val="1593CB"/>
        <w:sz w:val="20"/>
      </w:rPr>
      <w:tab/>
      <w:t xml:space="preserve">  </w:t>
    </w:r>
    <w:r>
      <w:rPr>
        <w:color w:val="1593CB"/>
        <w:sz w:val="20"/>
      </w:rPr>
      <w:tab/>
      <w:t xml:space="preserve"> Curriculum Vitae  </w:t>
    </w:r>
    <w:r>
      <w:rPr>
        <w:color w:val="1593CB"/>
        <w:sz w:val="20"/>
      </w:rPr>
      <w:tab/>
      <w:t xml:space="preserve">Vlad Cristian Sebastian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617A3"/>
    <w:multiLevelType w:val="hybridMultilevel"/>
    <w:tmpl w:val="E5BAC32C"/>
    <w:lvl w:ilvl="0" w:tplc="1B107DEC">
      <w:start w:val="10"/>
      <w:numFmt w:val="decimal"/>
      <w:lvlText w:val="%1."/>
      <w:lvlJc w:val="left"/>
      <w:pPr>
        <w:ind w:left="1556"/>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575AA290">
      <w:start w:val="1"/>
      <w:numFmt w:val="lowerLetter"/>
      <w:lvlText w:val="%2"/>
      <w:lvlJc w:val="left"/>
      <w:pPr>
        <w:ind w:left="3284"/>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0A001D68">
      <w:start w:val="1"/>
      <w:numFmt w:val="lowerRoman"/>
      <w:lvlText w:val="%3"/>
      <w:lvlJc w:val="left"/>
      <w:pPr>
        <w:ind w:left="4004"/>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898EB5A4">
      <w:start w:val="1"/>
      <w:numFmt w:val="decimal"/>
      <w:lvlText w:val="%4"/>
      <w:lvlJc w:val="left"/>
      <w:pPr>
        <w:ind w:left="4724"/>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CD26A996">
      <w:start w:val="1"/>
      <w:numFmt w:val="lowerLetter"/>
      <w:lvlText w:val="%5"/>
      <w:lvlJc w:val="left"/>
      <w:pPr>
        <w:ind w:left="5444"/>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8592B77E">
      <w:start w:val="1"/>
      <w:numFmt w:val="lowerRoman"/>
      <w:lvlText w:val="%6"/>
      <w:lvlJc w:val="left"/>
      <w:pPr>
        <w:ind w:left="6164"/>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EA16EB00">
      <w:start w:val="1"/>
      <w:numFmt w:val="decimal"/>
      <w:lvlText w:val="%7"/>
      <w:lvlJc w:val="left"/>
      <w:pPr>
        <w:ind w:left="6884"/>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1C4A8372">
      <w:start w:val="1"/>
      <w:numFmt w:val="lowerLetter"/>
      <w:lvlText w:val="%8"/>
      <w:lvlJc w:val="left"/>
      <w:pPr>
        <w:ind w:left="7604"/>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42C842CE">
      <w:start w:val="1"/>
      <w:numFmt w:val="lowerRoman"/>
      <w:lvlText w:val="%9"/>
      <w:lvlJc w:val="left"/>
      <w:pPr>
        <w:ind w:left="8324"/>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57E697D"/>
    <w:multiLevelType w:val="hybridMultilevel"/>
    <w:tmpl w:val="3E161C48"/>
    <w:lvl w:ilvl="0" w:tplc="4E32273A">
      <w:start w:val="10"/>
      <w:numFmt w:val="decimal"/>
      <w:lvlText w:val="%1."/>
      <w:lvlJc w:val="left"/>
      <w:pPr>
        <w:ind w:left="25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FEE9F6">
      <w:start w:val="1"/>
      <w:numFmt w:val="lowerLetter"/>
      <w:lvlText w:val="%2"/>
      <w:lvlJc w:val="left"/>
      <w:pPr>
        <w:ind w:left="32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EA85C66">
      <w:start w:val="1"/>
      <w:numFmt w:val="lowerRoman"/>
      <w:lvlText w:val="%3"/>
      <w:lvlJc w:val="left"/>
      <w:pPr>
        <w:ind w:left="40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DC091D8">
      <w:start w:val="1"/>
      <w:numFmt w:val="decimal"/>
      <w:lvlText w:val="%4"/>
      <w:lvlJc w:val="left"/>
      <w:pPr>
        <w:ind w:left="47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CE00900">
      <w:start w:val="1"/>
      <w:numFmt w:val="lowerLetter"/>
      <w:lvlText w:val="%5"/>
      <w:lvlJc w:val="left"/>
      <w:pPr>
        <w:ind w:left="54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4D05D4E">
      <w:start w:val="1"/>
      <w:numFmt w:val="lowerRoman"/>
      <w:lvlText w:val="%6"/>
      <w:lvlJc w:val="left"/>
      <w:pPr>
        <w:ind w:left="61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7DC904E">
      <w:start w:val="1"/>
      <w:numFmt w:val="decimal"/>
      <w:lvlText w:val="%7"/>
      <w:lvlJc w:val="left"/>
      <w:pPr>
        <w:ind w:left="68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FEA686E">
      <w:start w:val="1"/>
      <w:numFmt w:val="lowerLetter"/>
      <w:lvlText w:val="%8"/>
      <w:lvlJc w:val="left"/>
      <w:pPr>
        <w:ind w:left="76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352FBC2">
      <w:start w:val="1"/>
      <w:numFmt w:val="lowerRoman"/>
      <w:lvlText w:val="%9"/>
      <w:lvlJc w:val="left"/>
      <w:pPr>
        <w:ind w:left="83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B6E66F9"/>
    <w:multiLevelType w:val="hybridMultilevel"/>
    <w:tmpl w:val="549A312E"/>
    <w:lvl w:ilvl="0" w:tplc="3C38A48A">
      <w:start w:val="1"/>
      <w:numFmt w:val="decimal"/>
      <w:lvlText w:val="%1."/>
      <w:lvlJc w:val="left"/>
      <w:pPr>
        <w:ind w:left="1886"/>
      </w:pPr>
      <w:rPr>
        <w:rFonts w:ascii="Arial" w:eastAsia="Arial" w:hAnsi="Arial" w:cs="Arial"/>
        <w:b/>
        <w:bCs/>
        <w:i w:val="0"/>
        <w:strike w:val="0"/>
        <w:dstrike w:val="0"/>
        <w:color w:val="000000"/>
        <w:sz w:val="28"/>
        <w:szCs w:val="28"/>
        <w:u w:val="none" w:color="000000"/>
        <w:bdr w:val="none" w:sz="0" w:space="0" w:color="auto"/>
        <w:shd w:val="clear" w:color="auto" w:fill="auto"/>
        <w:vertAlign w:val="subscript"/>
      </w:rPr>
    </w:lvl>
    <w:lvl w:ilvl="1" w:tplc="E684D2B8">
      <w:start w:val="1"/>
      <w:numFmt w:val="bullet"/>
      <w:lvlText w:val="-"/>
      <w:lvlJc w:val="left"/>
      <w:pPr>
        <w:ind w:left="21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5E2BD6A">
      <w:start w:val="1"/>
      <w:numFmt w:val="bullet"/>
      <w:lvlText w:val="▪"/>
      <w:lvlJc w:val="left"/>
      <w:pPr>
        <w:ind w:left="303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110A082A">
      <w:start w:val="1"/>
      <w:numFmt w:val="bullet"/>
      <w:lvlText w:val="•"/>
      <w:lvlJc w:val="left"/>
      <w:pPr>
        <w:ind w:left="375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594D18A">
      <w:start w:val="1"/>
      <w:numFmt w:val="bullet"/>
      <w:lvlText w:val="o"/>
      <w:lvlJc w:val="left"/>
      <w:pPr>
        <w:ind w:left="447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4A83B72">
      <w:start w:val="1"/>
      <w:numFmt w:val="bullet"/>
      <w:lvlText w:val="▪"/>
      <w:lvlJc w:val="left"/>
      <w:pPr>
        <w:ind w:left="519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C5A15BC">
      <w:start w:val="1"/>
      <w:numFmt w:val="bullet"/>
      <w:lvlText w:val="•"/>
      <w:lvlJc w:val="left"/>
      <w:pPr>
        <w:ind w:left="591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8900F82">
      <w:start w:val="1"/>
      <w:numFmt w:val="bullet"/>
      <w:lvlText w:val="o"/>
      <w:lvlJc w:val="left"/>
      <w:pPr>
        <w:ind w:left="663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BB45C12">
      <w:start w:val="1"/>
      <w:numFmt w:val="bullet"/>
      <w:lvlText w:val="▪"/>
      <w:lvlJc w:val="left"/>
      <w:pPr>
        <w:ind w:left="735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405951DE"/>
    <w:multiLevelType w:val="hybridMultilevel"/>
    <w:tmpl w:val="12C2E632"/>
    <w:lvl w:ilvl="0" w:tplc="8A0219CC">
      <w:start w:val="1"/>
      <w:numFmt w:val="bullet"/>
      <w:lvlText w:val="-"/>
      <w:lvlJc w:val="left"/>
      <w:pPr>
        <w:ind w:left="11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39E9E18">
      <w:start w:val="1"/>
      <w:numFmt w:val="bullet"/>
      <w:lvlText w:val="o"/>
      <w:lvlJc w:val="left"/>
      <w:pPr>
        <w:ind w:left="119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694FCD6">
      <w:start w:val="1"/>
      <w:numFmt w:val="bullet"/>
      <w:lvlText w:val="▪"/>
      <w:lvlJc w:val="left"/>
      <w:pPr>
        <w:ind w:left="191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A1873DE">
      <w:start w:val="1"/>
      <w:numFmt w:val="bullet"/>
      <w:lvlText w:val="•"/>
      <w:lvlJc w:val="left"/>
      <w:pPr>
        <w:ind w:left="263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6CAAD20">
      <w:start w:val="1"/>
      <w:numFmt w:val="bullet"/>
      <w:lvlText w:val="o"/>
      <w:lvlJc w:val="left"/>
      <w:pPr>
        <w:ind w:left="335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6DABB8C">
      <w:start w:val="1"/>
      <w:numFmt w:val="bullet"/>
      <w:lvlText w:val="▪"/>
      <w:lvlJc w:val="left"/>
      <w:pPr>
        <w:ind w:left="407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568B2EA">
      <w:start w:val="1"/>
      <w:numFmt w:val="bullet"/>
      <w:lvlText w:val="•"/>
      <w:lvlJc w:val="left"/>
      <w:pPr>
        <w:ind w:left="479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940E076">
      <w:start w:val="1"/>
      <w:numFmt w:val="bullet"/>
      <w:lvlText w:val="o"/>
      <w:lvlJc w:val="left"/>
      <w:pPr>
        <w:ind w:left="551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DB6E73C">
      <w:start w:val="1"/>
      <w:numFmt w:val="bullet"/>
      <w:lvlText w:val="▪"/>
      <w:lvlJc w:val="left"/>
      <w:pPr>
        <w:ind w:left="623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4AA433BE"/>
    <w:multiLevelType w:val="hybridMultilevel"/>
    <w:tmpl w:val="67D83148"/>
    <w:lvl w:ilvl="0" w:tplc="021092A6">
      <w:start w:val="19"/>
      <w:numFmt w:val="decimal"/>
      <w:lvlText w:val="%1."/>
      <w:lvlJc w:val="left"/>
      <w:pPr>
        <w:ind w:left="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FDA6098">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E4472A2">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540F080">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CA888F8">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0E4CD458">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7FA40A0">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ABA7248">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7B624B6">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57981C28"/>
    <w:multiLevelType w:val="hybridMultilevel"/>
    <w:tmpl w:val="A824FAB4"/>
    <w:lvl w:ilvl="0" w:tplc="822AF640">
      <w:start w:val="1"/>
      <w:numFmt w:val="bullet"/>
      <w:lvlText w:val="-"/>
      <w:lvlJc w:val="left"/>
      <w:pPr>
        <w:ind w:left="47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9942682">
      <w:start w:val="1"/>
      <w:numFmt w:val="bullet"/>
      <w:lvlText w:val="o"/>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0A21558">
      <w:start w:val="1"/>
      <w:numFmt w:val="bullet"/>
      <w:lvlText w:val="▪"/>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61027A6">
      <w:start w:val="1"/>
      <w:numFmt w:val="bullet"/>
      <w:lvlText w:val="•"/>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0CABA88">
      <w:start w:val="1"/>
      <w:numFmt w:val="bullet"/>
      <w:lvlText w:val="o"/>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B8242FC">
      <w:start w:val="1"/>
      <w:numFmt w:val="bullet"/>
      <w:lvlText w:val="▪"/>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496DD10">
      <w:start w:val="1"/>
      <w:numFmt w:val="bullet"/>
      <w:lvlText w:val="•"/>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24EB6DE">
      <w:start w:val="1"/>
      <w:numFmt w:val="bullet"/>
      <w:lvlText w:val="o"/>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86AEB90">
      <w:start w:val="1"/>
      <w:numFmt w:val="bullet"/>
      <w:lvlText w:val="▪"/>
      <w:lvlJc w:val="left"/>
      <w:pPr>
        <w:ind w:left="64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abstractNumId w:val="1"/>
  </w:num>
  <w:num w:numId="2">
    <w:abstractNumId w:val="0"/>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33B"/>
    <w:rsid w:val="0035633B"/>
    <w:rsid w:val="007250F6"/>
    <w:rsid w:val="00876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01DE3F-39F9-49A7-B61B-2D1F32C90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250" w:lineRule="auto"/>
      <w:ind w:left="490" w:hanging="10"/>
      <w:jc w:val="both"/>
    </w:pPr>
    <w:rPr>
      <w:rFonts w:ascii="Arial" w:eastAsia="Arial" w:hAnsi="Arial" w:cs="Arial"/>
      <w:color w:val="000000"/>
      <w:sz w:val="18"/>
    </w:rPr>
  </w:style>
  <w:style w:type="paragraph" w:styleId="Heading1">
    <w:name w:val="heading 1"/>
    <w:next w:val="Normal"/>
    <w:link w:val="Heading1Char"/>
    <w:uiPriority w:val="9"/>
    <w:unhideWhenUsed/>
    <w:qFormat/>
    <w:pPr>
      <w:keepNext/>
      <w:keepLines/>
      <w:spacing w:after="0"/>
      <w:ind w:left="197" w:hanging="10"/>
      <w:outlineLvl w:val="0"/>
    </w:pPr>
    <w:rPr>
      <w:rFonts w:ascii="Arial" w:eastAsia="Arial" w:hAnsi="Arial" w:cs="Arial"/>
      <w:b/>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clinchem.org/"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hyperlink" Target="http://www.clinchem.org/"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linchem.org/" TargetMode="External"/><Relationship Id="rId5" Type="http://schemas.openxmlformats.org/officeDocument/2006/relationships/footnotes" Target="footnotes.xml"/><Relationship Id="rId15" Type="http://schemas.openxmlformats.org/officeDocument/2006/relationships/hyperlink" Target="http://www.clinchem.org/" TargetMode="External"/><Relationship Id="rId23" Type="http://schemas.openxmlformats.org/officeDocument/2006/relationships/theme" Target="theme/theme1.xml"/><Relationship Id="rId10" Type="http://schemas.openxmlformats.org/officeDocument/2006/relationships/hyperlink" Target="http://www.clinchem.org/"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clinchem.org/" TargetMode="External"/><Relationship Id="rId14" Type="http://schemas.openxmlformats.org/officeDocument/2006/relationships/hyperlink" Target="http://www.clinchem.org/"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3344</Words>
  <Characters>19063</Characters>
  <Application>Microsoft Office Word</Application>
  <DocSecurity>0</DocSecurity>
  <Lines>158</Lines>
  <Paragraphs>44</Paragraphs>
  <ScaleCrop>false</ScaleCrop>
  <Company/>
  <LinksUpToDate>false</LinksUpToDate>
  <CharactersWithSpaces>22363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Europass CV</dc:title>
  <dc:subject>Europass CV</dc:subject>
  <dc:creator>Toshiba</dc:creator>
  <cp:keywords>Europass, CV, Cedefop</cp:keywords>
  <cp:lastModifiedBy>DCC</cp:lastModifiedBy>
  <cp:revision>2</cp:revision>
  <dcterms:created xsi:type="dcterms:W3CDTF">2021-07-07T07:27:00Z</dcterms:created>
  <dcterms:modified xsi:type="dcterms:W3CDTF">2021-07-07T07:27:00Z</dcterms:modified>
</cp:coreProperties>
</file>