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3A6" w:rsidRDefault="004863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tbl>
      <w:tblPr>
        <w:tblStyle w:val="a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4863A6">
        <w:trPr>
          <w:trHeight w:val="340"/>
        </w:trPr>
        <w:tc>
          <w:tcPr>
            <w:tcW w:w="2834" w:type="dxa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INFORMAŢII PERSONALE</w:t>
            </w:r>
          </w:p>
        </w:tc>
        <w:tc>
          <w:tcPr>
            <w:tcW w:w="7541" w:type="dxa"/>
            <w:vAlign w:val="center"/>
          </w:tcPr>
          <w:p w:rsidR="004863A6" w:rsidRDefault="00EB7E55" w:rsidP="00114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NEAGU Carina</w:t>
            </w:r>
            <w:r w:rsidR="001143E5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Sonia </w:t>
            </w:r>
          </w:p>
        </w:tc>
      </w:tr>
      <w:tr w:rsidR="004863A6">
        <w:trPr>
          <w:trHeight w:val="227"/>
        </w:trPr>
        <w:tc>
          <w:tcPr>
            <w:tcW w:w="10375" w:type="dxa"/>
            <w:gridSpan w:val="2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 w:val="restart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rPr>
                <w:sz w:val="18"/>
                <w:szCs w:val="18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4863A6">
        <w:trPr>
          <w:trHeight w:val="397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  <w:vAlign w:val="center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rPr>
                <w:color w:val="1593CB"/>
              </w:rPr>
            </w:pP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0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4863A6">
        <w:trPr>
          <w:trHeight w:val="340"/>
        </w:trPr>
        <w:tc>
          <w:tcPr>
            <w:tcW w:w="2834" w:type="dxa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center"/>
              <w:rPr>
                <w:smallCaps/>
                <w:color w:val="0E4194"/>
                <w:sz w:val="18"/>
                <w:szCs w:val="18"/>
              </w:rPr>
            </w:pPr>
            <w:r>
              <w:rPr>
                <w:smallCaps/>
                <w:color w:val="0E4194"/>
                <w:sz w:val="18"/>
                <w:szCs w:val="18"/>
              </w:rPr>
              <w:t>STUDIILE PENTRU CARE SE CANDIDEAZĂ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smallCaps/>
                <w:color w:val="0E4194"/>
                <w:sz w:val="18"/>
                <w:szCs w:val="18"/>
              </w:rPr>
              <w:t>PROFILUL PERSONAL</w:t>
            </w:r>
          </w:p>
        </w:tc>
        <w:tc>
          <w:tcPr>
            <w:tcW w:w="7541" w:type="dxa"/>
            <w:vAlign w:val="center"/>
          </w:tcPr>
          <w:p w:rsidR="004863A6" w:rsidRDefault="00E42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Candidez</w:t>
            </w:r>
            <w:r w:rsidR="00EB7E55">
              <w:rPr>
                <w:sz w:val="26"/>
                <w:szCs w:val="26"/>
              </w:rPr>
              <w:t xml:space="preserve"> </w:t>
            </w:r>
            <w:r w:rsidR="00EB7E55">
              <w:rPr>
                <w:sz w:val="20"/>
                <w:szCs w:val="20"/>
              </w:rPr>
              <w:t xml:space="preserve">pentru </w:t>
            </w:r>
            <w:r>
              <w:rPr>
                <w:sz w:val="20"/>
                <w:szCs w:val="20"/>
              </w:rPr>
              <w:t>ocuparea unui post de Asistent Universitar pe perioadă determinată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:rsidR="003C5526" w:rsidRPr="003C5526" w:rsidRDefault="00EB7E55" w:rsidP="003C5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Absolventă a Facultății de Medicină De</w:t>
            </w:r>
            <w:r w:rsidR="00293D4D">
              <w:rPr>
                <w:sz w:val="20"/>
                <w:szCs w:val="20"/>
              </w:rPr>
              <w:t>ntară, student doctorand an II ş</w:t>
            </w:r>
            <w:r>
              <w:rPr>
                <w:sz w:val="20"/>
                <w:szCs w:val="20"/>
              </w:rPr>
              <w:t xml:space="preserve">i medic rezident specializarea </w:t>
            </w:r>
            <w:r w:rsidR="00293D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ndodon</w:t>
            </w:r>
            <w:r w:rsidR="00293D4D">
              <w:rPr>
                <w:sz w:val="20"/>
                <w:szCs w:val="20"/>
              </w:rPr>
              <w:t>ţ</w:t>
            </w:r>
            <w:r w:rsidR="003C5526">
              <w:rPr>
                <w:sz w:val="20"/>
                <w:szCs w:val="20"/>
              </w:rPr>
              <w:t>ie an II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1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4863A6">
        <w:trPr>
          <w:trHeight w:val="170"/>
        </w:trPr>
        <w:tc>
          <w:tcPr>
            <w:tcW w:w="2835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EXPERIENŢA PROFESIONALĂ</w:t>
            </w:r>
          </w:p>
        </w:tc>
        <w:tc>
          <w:tcPr>
            <w:tcW w:w="7540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>
                  <wp:extent cx="4789170" cy="90170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</w:rPr>
      </w:pPr>
    </w:p>
    <w:tbl>
      <w:tblPr>
        <w:tblStyle w:val="a2"/>
        <w:tblW w:w="10375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4863A6">
        <w:tc>
          <w:tcPr>
            <w:tcW w:w="2834" w:type="dxa"/>
            <w:vMerge w:val="restart"/>
          </w:tcPr>
          <w:p w:rsidR="004863A6" w:rsidRDefault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2020-prezent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3A4CEB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</w:p>
          <w:p w:rsidR="003A4CEB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</w:p>
          <w:p w:rsidR="003A4CEB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rPr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2016-2020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2016-2020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3A4CEB" w:rsidRDefault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Pr="003A4CEB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</w:rPr>
            </w:pPr>
          </w:p>
          <w:p w:rsidR="004863A6" w:rsidRDefault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2015-2016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1" w:type="dxa"/>
          </w:tcPr>
          <w:p w:rsidR="003A4CEB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 rezident specializarea Endodontie, an II;</w:t>
            </w:r>
          </w:p>
          <w:p w:rsidR="003A4CEB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doctorand disciplina de Propedeutica si Materiale Dentare, an II;</w:t>
            </w:r>
          </w:p>
          <w:p w:rsidR="004863A6" w:rsidRDefault="003A4CEB" w:rsidP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Reprezentant al studentilor doctoranzi in cadrul Consiliului Scolii Doctorale de Medicină Dentară</w:t>
            </w:r>
          </w:p>
        </w:tc>
      </w:tr>
      <w:tr w:rsidR="004863A6"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Membră în Departamentul de Evaluare și Asigurare a Calității Educaționale (DEACE)  din cadrul Universității de Medicină și Farmacie "Victor Babeș" din Timișoara, ca student reprezentant al Facultății de Medicină Dentară</w:t>
            </w:r>
          </w:p>
        </w:tc>
      </w:tr>
      <w:tr w:rsidR="004863A6"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1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:rsidR="004863A6" w:rsidRDefault="003C5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Activitate de cercetare științifică la Disciplina de Propedeutică și Materiale Dentare</w:t>
            </w:r>
            <w:r w:rsidR="00EB7E55">
              <w:rPr>
                <w:sz w:val="18"/>
                <w:szCs w:val="18"/>
              </w:rPr>
              <w:t xml:space="preserve"> în cadrul programului</w:t>
            </w:r>
            <w:r>
              <w:rPr>
                <w:sz w:val="18"/>
                <w:szCs w:val="18"/>
              </w:rPr>
              <w:t xml:space="preserve"> intitulat „</w:t>
            </w:r>
            <w:r w:rsidRPr="003C5526">
              <w:rPr>
                <w:sz w:val="18"/>
                <w:szCs w:val="18"/>
              </w:rPr>
              <w:t>Voluntariat în activitatea de dezvoltare academică</w:t>
            </w:r>
            <w:r>
              <w:rPr>
                <w:sz w:val="18"/>
                <w:szCs w:val="18"/>
              </w:rPr>
              <w:t>”</w:t>
            </w:r>
            <w:r w:rsidRPr="003C5526">
              <w:rPr>
                <w:sz w:val="18"/>
                <w:szCs w:val="18"/>
              </w:rPr>
              <w:t xml:space="preserve"> (VADA)</w:t>
            </w:r>
            <w:r w:rsidR="00EB7E55">
              <w:rPr>
                <w:sz w:val="18"/>
                <w:szCs w:val="18"/>
              </w:rPr>
              <w:t xml:space="preserve"> </w:t>
            </w:r>
            <w:r w:rsidR="003A4CEB" w:rsidRPr="003A4CEB">
              <w:rPr>
                <w:sz w:val="18"/>
                <w:szCs w:val="18"/>
              </w:rPr>
              <w:t>contract nr. 16566 din 28.12.2015 si contract nr. 14656 din 12.10.2018</w:t>
            </w:r>
            <w:r w:rsidR="003A4CEB">
              <w:rPr>
                <w:sz w:val="18"/>
                <w:szCs w:val="18"/>
              </w:rPr>
              <w:t>.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  <w:p w:rsidR="004863A6" w:rsidRDefault="003A4C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Membră in Consiliul Profesoral din cadrul Universității de Medicină și Farmacie "Victor Babeș" din Timișoara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3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4863A6">
        <w:trPr>
          <w:trHeight w:val="170"/>
        </w:trPr>
        <w:tc>
          <w:tcPr>
            <w:tcW w:w="2835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EDUCAŢIE ŞI FORMARE</w:t>
            </w:r>
          </w:p>
        </w:tc>
        <w:tc>
          <w:tcPr>
            <w:tcW w:w="7540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>
                  <wp:extent cx="4789170" cy="9017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</w:rPr>
      </w:pPr>
    </w:p>
    <w:tbl>
      <w:tblPr>
        <w:tblStyle w:val="a4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4863A6">
        <w:tc>
          <w:tcPr>
            <w:tcW w:w="2834" w:type="dxa"/>
            <w:vMerge w:val="restart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2014-2020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2010-2014 </w:t>
            </w:r>
          </w:p>
        </w:tc>
        <w:tc>
          <w:tcPr>
            <w:tcW w:w="6237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22"/>
                <w:szCs w:val="22"/>
              </w:rPr>
            </w:pPr>
            <w:r>
              <w:rPr>
                <w:color w:val="0E4194"/>
                <w:sz w:val="22"/>
                <w:szCs w:val="22"/>
              </w:rPr>
              <w:t xml:space="preserve">Studii universitare de licență în Medicină Dentară </w:t>
            </w:r>
          </w:p>
        </w:tc>
        <w:tc>
          <w:tcPr>
            <w:tcW w:w="1305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jc w:val="right"/>
              <w:rPr>
                <w:color w:val="1593CB"/>
                <w:sz w:val="15"/>
                <w:szCs w:val="15"/>
              </w:rPr>
            </w:pPr>
          </w:p>
        </w:tc>
      </w:tr>
      <w:tr w:rsidR="004863A6"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1593CB"/>
                <w:sz w:val="15"/>
                <w:szCs w:val="15"/>
              </w:rPr>
            </w:pPr>
          </w:p>
        </w:tc>
        <w:tc>
          <w:tcPr>
            <w:tcW w:w="7542" w:type="dxa"/>
            <w:gridSpan w:val="2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Universitatea de Medicină și Farmacie "Victor Babeș" Timișoara – Facultatea de Medicină Dentară</w:t>
            </w:r>
          </w:p>
        </w:tc>
      </w:tr>
      <w:tr w:rsidR="004863A6"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2" w:type="dxa"/>
            <w:gridSpan w:val="2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F5496"/>
                <w:sz w:val="22"/>
                <w:szCs w:val="22"/>
              </w:rPr>
            </w:pPr>
            <w:r>
              <w:rPr>
                <w:color w:val="2F5496"/>
                <w:sz w:val="22"/>
                <w:szCs w:val="22"/>
              </w:rPr>
              <w:t>Studii medii – profil real, specializarea matematică-informatică</w:t>
            </w:r>
          </w:p>
        </w:tc>
      </w:tr>
      <w:tr w:rsidR="004863A6">
        <w:tc>
          <w:tcPr>
            <w:tcW w:w="2834" w:type="dxa"/>
          </w:tcPr>
          <w:p w:rsidR="004863A6" w:rsidRDefault="004863A6"/>
        </w:tc>
        <w:tc>
          <w:tcPr>
            <w:tcW w:w="7542" w:type="dxa"/>
            <w:gridSpan w:val="2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2F5496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Liceul Teoretic "</w:t>
            </w:r>
            <w:r>
              <w:rPr>
                <w:sz w:val="18"/>
                <w:szCs w:val="18"/>
              </w:rPr>
              <w:t>Grigore Moisil" Timișoara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5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4863A6">
        <w:trPr>
          <w:trHeight w:val="170"/>
        </w:trPr>
        <w:tc>
          <w:tcPr>
            <w:tcW w:w="2835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COMPETENΤE PERSONALE</w:t>
            </w:r>
          </w:p>
        </w:tc>
        <w:tc>
          <w:tcPr>
            <w:tcW w:w="7540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>
                  <wp:extent cx="4789170" cy="90170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</w:rPr>
      </w:pPr>
    </w:p>
    <w:tbl>
      <w:tblPr>
        <w:tblStyle w:val="a6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4863A6">
        <w:trPr>
          <w:trHeight w:val="255"/>
        </w:trPr>
        <w:tc>
          <w:tcPr>
            <w:tcW w:w="2834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Limba(i) maternă(e)</w:t>
            </w:r>
          </w:p>
        </w:tc>
        <w:tc>
          <w:tcPr>
            <w:tcW w:w="7542" w:type="dxa"/>
            <w:gridSpan w:val="5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Română 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rPr>
                <w:sz w:val="18"/>
                <w:szCs w:val="18"/>
              </w:rPr>
            </w:pPr>
          </w:p>
        </w:tc>
      </w:tr>
      <w:tr w:rsidR="001B1DFA">
        <w:trPr>
          <w:trHeight w:val="255"/>
        </w:trPr>
        <w:tc>
          <w:tcPr>
            <w:tcW w:w="2834" w:type="dxa"/>
          </w:tcPr>
          <w:p w:rsidR="001B1DFA" w:rsidRDefault="001B1D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  <w:gridSpan w:val="5"/>
          </w:tcPr>
          <w:p w:rsidR="001B1DFA" w:rsidRDefault="001B1D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rPr>
                <w:sz w:val="18"/>
                <w:szCs w:val="18"/>
              </w:rPr>
            </w:pPr>
          </w:p>
        </w:tc>
      </w:tr>
      <w:tr w:rsidR="004863A6">
        <w:trPr>
          <w:trHeight w:val="340"/>
        </w:trPr>
        <w:tc>
          <w:tcPr>
            <w:tcW w:w="2834" w:type="dxa"/>
            <w:vMerge w:val="restart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rPr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       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smallCaps/>
                <w:color w:val="0E4194"/>
                <w:sz w:val="14"/>
                <w:szCs w:val="14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smallCaps/>
                <w:color w:val="0E4194"/>
                <w:sz w:val="14"/>
                <w:szCs w:val="14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smallCaps/>
                <w:color w:val="0E4194"/>
                <w:sz w:val="14"/>
                <w:szCs w:val="14"/>
              </w:rPr>
              <w:t xml:space="preserve">SCRIERE </w:t>
            </w:r>
          </w:p>
        </w:tc>
      </w:tr>
      <w:tr w:rsidR="004863A6">
        <w:trPr>
          <w:trHeight w:val="340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 xml:space="preserve">Ascultare </w:t>
            </w:r>
          </w:p>
        </w:tc>
      </w:tr>
      <w:tr w:rsidR="004863A6">
        <w:trPr>
          <w:trHeight w:val="283"/>
        </w:trPr>
        <w:tc>
          <w:tcPr>
            <w:tcW w:w="2834" w:type="dxa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mallCaps/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C1</w:t>
            </w:r>
          </w:p>
        </w:tc>
      </w:tr>
      <w:tr w:rsidR="004863A6">
        <w:trPr>
          <w:trHeight w:val="283"/>
        </w:trPr>
        <w:tc>
          <w:tcPr>
            <w:tcW w:w="2834" w:type="dxa"/>
            <w:shd w:val="clear" w:color="auto" w:fill="auto"/>
          </w:tcPr>
          <w:p w:rsidR="004863A6" w:rsidRDefault="004863A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center"/>
            </w:pPr>
            <w:r>
              <w:t xml:space="preserve">Certificat de competenta lingvistica </w:t>
            </w:r>
          </w:p>
        </w:tc>
      </w:tr>
      <w:tr w:rsidR="004863A6">
        <w:trPr>
          <w:trHeight w:val="283"/>
        </w:trPr>
        <w:tc>
          <w:tcPr>
            <w:tcW w:w="2834" w:type="dxa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MAGHIARĂ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mallCaps/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B1</w:t>
            </w:r>
          </w:p>
        </w:tc>
      </w:tr>
      <w:tr w:rsidR="004863A6">
        <w:trPr>
          <w:trHeight w:val="283"/>
        </w:trPr>
        <w:tc>
          <w:tcPr>
            <w:tcW w:w="2834" w:type="dxa"/>
            <w:shd w:val="clear" w:color="auto" w:fill="auto"/>
          </w:tcPr>
          <w:p w:rsidR="004863A6" w:rsidRDefault="004863A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center"/>
            </w:pPr>
          </w:p>
        </w:tc>
      </w:tr>
      <w:tr w:rsidR="004863A6">
        <w:trPr>
          <w:trHeight w:val="397"/>
        </w:trPr>
        <w:tc>
          <w:tcPr>
            <w:tcW w:w="2834" w:type="dxa"/>
          </w:tcPr>
          <w:p w:rsidR="004863A6" w:rsidRDefault="004863A6"/>
        </w:tc>
        <w:tc>
          <w:tcPr>
            <w:tcW w:w="7542" w:type="dxa"/>
            <w:gridSpan w:val="5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r>
              <w:rPr>
                <w:color w:val="0E4194"/>
                <w:sz w:val="15"/>
                <w:szCs w:val="15"/>
              </w:rPr>
              <w:t xml:space="preserve">Niveluri: A1/A2: Utilizator elementar  -  B1/B2: Utilizator independent  -  C1/C2: Utilizator experimentat </w:t>
            </w:r>
          </w:p>
          <w:p w:rsidR="004863A6" w:rsidRDefault="00DC7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hyperlink r:id="rId8">
              <w:r w:rsidR="00EB7E55">
                <w:rPr>
                  <w:color w:val="000080"/>
                  <w:sz w:val="15"/>
                  <w:szCs w:val="15"/>
                  <w:u w:val="single"/>
                </w:rPr>
                <w:t>Cadrul european comun de referinţă pentru limbi străine</w:t>
              </w:r>
            </w:hyperlink>
            <w:r w:rsidR="00EB7E55">
              <w:rPr>
                <w:color w:val="0E4194"/>
                <w:sz w:val="15"/>
                <w:szCs w:val="15"/>
              </w:rPr>
              <w:t xml:space="preserve"> </w:t>
            </w:r>
          </w:p>
        </w:tc>
      </w:tr>
    </w:tbl>
    <w:tbl>
      <w:tblPr>
        <w:tblStyle w:val="a7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4863A6">
        <w:trPr>
          <w:trHeight w:val="170"/>
        </w:trPr>
        <w:tc>
          <w:tcPr>
            <w:tcW w:w="2834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Competenţe de comunicare </w:t>
            </w:r>
          </w:p>
        </w:tc>
        <w:tc>
          <w:tcPr>
            <w:tcW w:w="7542" w:type="dxa"/>
          </w:tcPr>
          <w:p w:rsidR="004863A6" w:rsidRDefault="00EB7E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Competențe de comunicare dobândite prin programele de voluntariat la care am participat care au presupus activități de cercetare si tutorat.</w:t>
            </w:r>
          </w:p>
          <w:p w:rsidR="004863A6" w:rsidRDefault="00EB7E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Aptitudini de comunicare științifică formate prin susținerea de prezentări științifice orale și prezentări poster în cadrul unor manifestări științifice naționale si internaționale.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8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4863A6">
        <w:trPr>
          <w:trHeight w:val="170"/>
        </w:trPr>
        <w:tc>
          <w:tcPr>
            <w:tcW w:w="2834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Competenţe organizaţionale/manageriale </w:t>
            </w:r>
          </w:p>
        </w:tc>
        <w:tc>
          <w:tcPr>
            <w:tcW w:w="7542" w:type="dxa"/>
          </w:tcPr>
          <w:p w:rsidR="004863A6" w:rsidRDefault="00EB7E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Mentorat (în cadrul programului de Voluntariat VADA  - pregătirea studenților din anii preclinici în cadrul Facultății de Medicină Dentară, colaborarea cu studenții de la secția de Inginerie Medicală a Universității Politehnica din Timișoara)</w:t>
            </w:r>
          </w:p>
          <w:p w:rsidR="004863A6" w:rsidRDefault="00EB7E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Leadership (responsabilități legate de activitatea de cercetare a studenților din ani preclinici)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9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4863A6">
        <w:trPr>
          <w:trHeight w:val="170"/>
        </w:trPr>
        <w:tc>
          <w:tcPr>
            <w:tcW w:w="2834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sz w:val="18"/>
                <w:szCs w:val="18"/>
              </w:rPr>
            </w:pP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a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4863A6">
        <w:trPr>
          <w:trHeight w:val="340"/>
        </w:trPr>
        <w:tc>
          <w:tcPr>
            <w:tcW w:w="2834" w:type="dxa"/>
            <w:vMerge w:val="restart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Competenţe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mallCaps/>
                <w:color w:val="0E4194"/>
                <w:sz w:val="14"/>
                <w:szCs w:val="14"/>
              </w:rPr>
            </w:pPr>
            <w:r>
              <w:rPr>
                <w:color w:val="0E4194"/>
                <w:sz w:val="14"/>
                <w:szCs w:val="14"/>
              </w:rPr>
              <w:t>AUTOEVALUARE</w:t>
            </w:r>
          </w:p>
        </w:tc>
      </w:tr>
      <w:tr w:rsidR="004863A6">
        <w:trPr>
          <w:trHeight w:val="478"/>
        </w:trPr>
        <w:tc>
          <w:tcPr>
            <w:tcW w:w="2834" w:type="dxa"/>
            <w:vMerge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mallCaps/>
                <w:color w:val="0E4194"/>
                <w:sz w:val="14"/>
                <w:szCs w:val="14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E4194"/>
              </w:rPr>
            </w:pPr>
            <w:r>
              <w:rPr>
                <w:color w:val="0E4194"/>
              </w:rPr>
              <w:t>Rezolvarea de probleme</w:t>
            </w:r>
          </w:p>
        </w:tc>
      </w:tr>
      <w:tr w:rsidR="004863A6">
        <w:trPr>
          <w:trHeight w:val="283"/>
        </w:trPr>
        <w:tc>
          <w:tcPr>
            <w:tcW w:w="2834" w:type="dxa"/>
            <w:vAlign w:val="center"/>
          </w:tcPr>
          <w:p w:rsidR="004863A6" w:rsidRDefault="004863A6"/>
        </w:tc>
        <w:tc>
          <w:tcPr>
            <w:tcW w:w="1544" w:type="dxa"/>
            <w:tcBorders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jc w:val="center"/>
              <w:rPr>
                <w:smallCaps/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</w:t>
            </w:r>
          </w:p>
        </w:tc>
      </w:tr>
      <w:tr w:rsidR="004863A6">
        <w:trPr>
          <w:trHeight w:val="344"/>
        </w:trPr>
        <w:tc>
          <w:tcPr>
            <w:tcW w:w="2834" w:type="dxa"/>
          </w:tcPr>
          <w:p w:rsidR="004863A6" w:rsidRDefault="004863A6"/>
        </w:tc>
        <w:tc>
          <w:tcPr>
            <w:tcW w:w="7542" w:type="dxa"/>
            <w:gridSpan w:val="5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r>
              <w:rPr>
                <w:color w:val="0E4194"/>
                <w:sz w:val="15"/>
                <w:szCs w:val="15"/>
              </w:rPr>
              <w:t xml:space="preserve">Niveluri: Utilizator elementar  -  Utilizator independent  -  Utilizator experimentat </w:t>
            </w:r>
          </w:p>
          <w:p w:rsidR="004863A6" w:rsidRDefault="00DC7C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E4194"/>
                <w:sz w:val="15"/>
                <w:szCs w:val="15"/>
              </w:rPr>
            </w:pPr>
            <w:hyperlink r:id="rId9">
              <w:r w:rsidR="00EB7E55">
                <w:rPr>
                  <w:color w:val="000080"/>
                  <w:sz w:val="15"/>
                  <w:szCs w:val="15"/>
                  <w:u w:val="single"/>
                </w:rPr>
                <w:t>Competențele digitale - Grilă de auto-evaluare</w:t>
              </w:r>
            </w:hyperlink>
          </w:p>
        </w:tc>
      </w:tr>
      <w:tr w:rsidR="004863A6">
        <w:trPr>
          <w:trHeight w:val="283"/>
        </w:trPr>
        <w:tc>
          <w:tcPr>
            <w:tcW w:w="2834" w:type="dxa"/>
            <w:shd w:val="clear" w:color="auto" w:fill="auto"/>
          </w:tcPr>
          <w:p w:rsidR="004863A6" w:rsidRDefault="004863A6"/>
        </w:tc>
        <w:tc>
          <w:tcPr>
            <w:tcW w:w="7542" w:type="dxa"/>
            <w:gridSpan w:val="5"/>
            <w:shd w:val="clear" w:color="auto" w:fill="ECECEC"/>
            <w:vAlign w:val="center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center"/>
              <w:rPr>
                <w:sz w:val="18"/>
                <w:szCs w:val="18"/>
              </w:rPr>
            </w:pPr>
            <w:r>
              <w:t>Certificat de Competente Digitale</w:t>
            </w:r>
          </w:p>
        </w:tc>
      </w:tr>
      <w:tr w:rsidR="004863A6">
        <w:trPr>
          <w:trHeight w:val="340"/>
        </w:trPr>
        <w:tc>
          <w:tcPr>
            <w:tcW w:w="2834" w:type="dxa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</w:p>
        </w:tc>
        <w:tc>
          <w:tcPr>
            <w:tcW w:w="7542" w:type="dxa"/>
            <w:gridSpan w:val="5"/>
          </w:tcPr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sz w:val="18"/>
                <w:szCs w:val="18"/>
              </w:rPr>
            </w:pPr>
          </w:p>
          <w:p w:rsidR="004863A6" w:rsidRDefault="00EB7E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experimentat a</w:t>
            </w:r>
            <w:r w:rsidR="00CD7CD3">
              <w:rPr>
                <w:sz w:val="18"/>
                <w:szCs w:val="18"/>
              </w:rPr>
              <w:t>l procesorului de texte MS Word și</w:t>
            </w:r>
            <w:r>
              <w:rPr>
                <w:sz w:val="18"/>
                <w:szCs w:val="18"/>
              </w:rPr>
              <w:t xml:space="preserve"> al softului de prezentări PowerPoint</w:t>
            </w:r>
          </w:p>
          <w:p w:rsidR="00CD7CD3" w:rsidRDefault="00CD7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Utilizator independent al softului MedCalc de prelucrare statistică a datelor experimentale.</w:t>
            </w:r>
          </w:p>
          <w:p w:rsidR="004863A6" w:rsidRDefault="00486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sz w:val="18"/>
                <w:szCs w:val="18"/>
              </w:rPr>
            </w:pPr>
          </w:p>
        </w:tc>
      </w:tr>
    </w:tbl>
    <w:p w:rsidR="004863A6" w:rsidRDefault="004863A6"/>
    <w:tbl>
      <w:tblPr>
        <w:tblStyle w:val="ab"/>
        <w:tblW w:w="10376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4863A6">
        <w:trPr>
          <w:trHeight w:val="170"/>
        </w:trPr>
        <w:tc>
          <w:tcPr>
            <w:tcW w:w="2834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right="283"/>
              <w:jc w:val="right"/>
              <w:rPr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 xml:space="preserve">Alte competenţe </w:t>
            </w:r>
          </w:p>
        </w:tc>
        <w:tc>
          <w:tcPr>
            <w:tcW w:w="7542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Experienta acumulată în timpul anilor de studiu și pregătire din cadrul Facultății de Medicină Dentară și a perioadelor de practică în cabinetele stomatologice private ne oferă oportunitatea de a deveni buni practicieni la scurt timp după terminarea studiilor, ne învață cum să comunicăm cât mai eficient cu pacienții si cum să facem managementul unui cabinet de medicină dentară.</w:t>
            </w:r>
          </w:p>
        </w:tc>
      </w:tr>
    </w:tbl>
    <w:p w:rsidR="004863A6" w:rsidRDefault="004863A6"/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c"/>
        <w:tblW w:w="10375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4863A6">
        <w:trPr>
          <w:trHeight w:val="170"/>
        </w:trPr>
        <w:tc>
          <w:tcPr>
            <w:tcW w:w="2835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83"/>
              <w:jc w:val="right"/>
              <w:rPr>
                <w:smallCaps/>
                <w:color w:val="0E4194"/>
                <w:sz w:val="18"/>
                <w:szCs w:val="18"/>
              </w:rPr>
            </w:pPr>
            <w:r>
              <w:rPr>
                <w:color w:val="0E4194"/>
                <w:sz w:val="18"/>
                <w:szCs w:val="18"/>
              </w:rPr>
              <w:t>INFORMAΤII SUPLIMENTARE</w:t>
            </w:r>
          </w:p>
        </w:tc>
        <w:tc>
          <w:tcPr>
            <w:tcW w:w="7540" w:type="dxa"/>
          </w:tcPr>
          <w:p w:rsidR="004863A6" w:rsidRDefault="00EB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402C24"/>
                <w:sz w:val="8"/>
                <w:szCs w:val="8"/>
              </w:rPr>
            </w:pPr>
            <w:r>
              <w:rPr>
                <w:noProof/>
                <w:color w:val="402C24"/>
                <w:sz w:val="8"/>
                <w:szCs w:val="8"/>
                <w:lang w:val="en-US"/>
              </w:rPr>
              <w:drawing>
                <wp:inline distT="0" distB="0" distL="114300" distR="114300">
                  <wp:extent cx="4789170" cy="9017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170" cy="901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02C24"/>
                <w:sz w:val="8"/>
                <w:szCs w:val="8"/>
              </w:rPr>
              <w:t xml:space="preserve"> </w:t>
            </w:r>
          </w:p>
        </w:tc>
      </w:tr>
    </w:tbl>
    <w:p w:rsidR="004863A6" w:rsidRDefault="004863A6">
      <w:pPr>
        <w:pBdr>
          <w:top w:val="nil"/>
          <w:left w:val="nil"/>
          <w:bottom w:val="nil"/>
          <w:right w:val="nil"/>
          <w:between w:val="nil"/>
        </w:pBdr>
      </w:pPr>
    </w:p>
    <w:p w:rsidR="004863A6" w:rsidRDefault="00EB7E55">
      <w:pPr>
        <w:widowControl/>
        <w:shd w:val="clear" w:color="auto" w:fill="FFFFFF"/>
        <w:spacing w:before="280" w:after="280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Premii obținute la manifestări științifice :</w:t>
      </w:r>
    </w:p>
    <w:p w:rsidR="004863A6" w:rsidRPr="00CD7CD3" w:rsidRDefault="00EB7E55">
      <w:pPr>
        <w:widowControl/>
        <w:shd w:val="clear" w:color="auto" w:fill="FFFFFF"/>
        <w:spacing w:before="280" w:after="280"/>
        <w:rPr>
          <w:sz w:val="18"/>
          <w:szCs w:val="18"/>
        </w:rPr>
      </w:pPr>
      <w:r w:rsidRPr="00CD7CD3">
        <w:rPr>
          <w:b/>
          <w:sz w:val="18"/>
          <w:szCs w:val="18"/>
        </w:rPr>
        <w:t>Internaționale :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</w:rPr>
        <w:t>Premiul special</w:t>
      </w:r>
      <w:r>
        <w:rPr>
          <w:sz w:val="18"/>
          <w:szCs w:val="18"/>
        </w:rPr>
        <w:t xml:space="preserve"> obținut la Congresul cercurilor științifice studențești, secțiunea Medicină Dentară organizat de Universitatea de Științe din Szeged desfășurat în 14 noiembrie 2018 în Szeged, Ungaria pentru prezentarea orală a lucrării "The use of dental adhesives loaded with magnetic nanoparticles for improving the bond between teeth and direct veneers"; Autori: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AC; Coordonatori științifici: Prof. Dr. Sinescu C, Prof. Dr. Negruțiu ML;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“Award for the Best Materials Study Paper” </w:t>
      </w:r>
      <w:r>
        <w:rPr>
          <w:sz w:val="18"/>
          <w:szCs w:val="18"/>
        </w:rPr>
        <w:t>obtinut la Congresul 1st International Conference ADVANCES IN 3OM: Opto-Mechatronics, Opto-Mechanics and Optical Metrology desf</w:t>
      </w:r>
      <w:r w:rsidR="001B1DFA">
        <w:rPr>
          <w:sz w:val="18"/>
          <w:szCs w:val="18"/>
        </w:rPr>
        <w:t>ӑş</w:t>
      </w:r>
      <w:r>
        <w:rPr>
          <w:sz w:val="18"/>
          <w:szCs w:val="18"/>
        </w:rPr>
        <w:t xml:space="preserve">urat </w:t>
      </w:r>
      <w:r w:rsidR="001B1DFA">
        <w:rPr>
          <w:sz w:val="18"/>
          <w:szCs w:val="18"/>
        </w:rPr>
        <w:t>în 13-16 decembrie 2021 î</w:t>
      </w:r>
      <w:r>
        <w:rPr>
          <w:sz w:val="18"/>
          <w:szCs w:val="18"/>
        </w:rPr>
        <w:t>n Timi</w:t>
      </w:r>
      <w:r w:rsidR="001B1DFA">
        <w:rPr>
          <w:sz w:val="18"/>
          <w:szCs w:val="18"/>
        </w:rPr>
        <w:t>ş</w:t>
      </w:r>
      <w:r>
        <w:rPr>
          <w:sz w:val="18"/>
          <w:szCs w:val="18"/>
        </w:rPr>
        <w:t xml:space="preserve">oara, Romania; Autori: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 , Sinescu C,  Negru</w:t>
      </w:r>
      <w:r w:rsidR="001143E5">
        <w:rPr>
          <w:sz w:val="18"/>
          <w:szCs w:val="18"/>
        </w:rPr>
        <w:t>ţ</w:t>
      </w:r>
      <w:r>
        <w:rPr>
          <w:sz w:val="18"/>
          <w:szCs w:val="18"/>
        </w:rPr>
        <w:t>iu ML, Cojocariu AC, Zaharia, C Duma VF;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</w:rPr>
        <w:t>Premiul I</w:t>
      </w:r>
      <w:r>
        <w:rPr>
          <w:sz w:val="18"/>
          <w:szCs w:val="18"/>
        </w:rPr>
        <w:t xml:space="preserve"> ob</w:t>
      </w:r>
      <w:r w:rsidR="001B1DFA">
        <w:rPr>
          <w:sz w:val="18"/>
          <w:szCs w:val="18"/>
        </w:rPr>
        <w:t>ţ</w:t>
      </w:r>
      <w:r>
        <w:rPr>
          <w:sz w:val="18"/>
          <w:szCs w:val="18"/>
        </w:rPr>
        <w:t>inut la Expozi</w:t>
      </w:r>
      <w:r w:rsidR="001B1DFA">
        <w:rPr>
          <w:sz w:val="18"/>
          <w:szCs w:val="18"/>
        </w:rPr>
        <w:t>ţ</w:t>
      </w:r>
      <w:r>
        <w:rPr>
          <w:sz w:val="18"/>
          <w:szCs w:val="18"/>
        </w:rPr>
        <w:t>ia interna</w:t>
      </w:r>
      <w:r w:rsidR="001B1DFA">
        <w:rPr>
          <w:sz w:val="18"/>
          <w:szCs w:val="18"/>
        </w:rPr>
        <w:t>ţ</w:t>
      </w:r>
      <w:r>
        <w:rPr>
          <w:sz w:val="18"/>
          <w:szCs w:val="18"/>
        </w:rPr>
        <w:t>ional</w:t>
      </w:r>
      <w:r w:rsidR="001B1DFA">
        <w:rPr>
          <w:sz w:val="18"/>
          <w:szCs w:val="18"/>
        </w:rPr>
        <w:t>ӑ</w:t>
      </w:r>
      <w:r>
        <w:rPr>
          <w:sz w:val="18"/>
          <w:szCs w:val="18"/>
        </w:rPr>
        <w:t xml:space="preserve"> de brevete INVENTCOR organizat</w:t>
      </w:r>
      <w:r w:rsidR="001B1DFA">
        <w:rPr>
          <w:sz w:val="18"/>
          <w:szCs w:val="18"/>
        </w:rPr>
        <w:t>ӑ</w:t>
      </w:r>
      <w:r>
        <w:rPr>
          <w:sz w:val="18"/>
          <w:szCs w:val="18"/>
        </w:rPr>
        <w:t xml:space="preserve"> </w:t>
      </w:r>
      <w:r w:rsidR="001B1DFA">
        <w:rPr>
          <w:sz w:val="18"/>
          <w:szCs w:val="18"/>
        </w:rPr>
        <w:t>î</w:t>
      </w:r>
      <w:r>
        <w:rPr>
          <w:sz w:val="18"/>
          <w:szCs w:val="18"/>
        </w:rPr>
        <w:t>n 17-19.12.2020, Deva pentru prezentarea brevetului “Dental impression guide and the method of use” ; Autori: Cojocariu AC, Sinescu C, Kabai L, Negru</w:t>
      </w:r>
      <w:r w:rsidR="001B1DFA">
        <w:rPr>
          <w:sz w:val="18"/>
          <w:szCs w:val="18"/>
        </w:rPr>
        <w:t>ţ</w:t>
      </w:r>
      <w:r>
        <w:rPr>
          <w:sz w:val="18"/>
          <w:szCs w:val="18"/>
        </w:rPr>
        <w:t>iu ML, Leretter M, Jiv</w:t>
      </w:r>
      <w:r w:rsidR="001B1DFA">
        <w:rPr>
          <w:sz w:val="18"/>
          <w:szCs w:val="18"/>
        </w:rPr>
        <w:t>ӑ</w:t>
      </w:r>
      <w:r>
        <w:rPr>
          <w:sz w:val="18"/>
          <w:szCs w:val="18"/>
        </w:rPr>
        <w:t>nescu A, Cr</w:t>
      </w:r>
      <w:r w:rsidR="001B1DFA">
        <w:rPr>
          <w:sz w:val="18"/>
          <w:szCs w:val="18"/>
        </w:rPr>
        <w:t>ӑ</w:t>
      </w:r>
      <w:r>
        <w:rPr>
          <w:sz w:val="18"/>
          <w:szCs w:val="18"/>
        </w:rPr>
        <w:t xml:space="preserve">ciunescu EL,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; </w:t>
      </w:r>
    </w:p>
    <w:p w:rsidR="004863A6" w:rsidRPr="00CD7CD3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 w:rsidRPr="00CD7CD3">
        <w:rPr>
          <w:b/>
          <w:sz w:val="18"/>
          <w:szCs w:val="18"/>
        </w:rPr>
        <w:t>Naționale: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special </w:t>
      </w:r>
      <w:r>
        <w:rPr>
          <w:sz w:val="18"/>
          <w:szCs w:val="18"/>
        </w:rPr>
        <w:t>obținut la Conferința științifică "Studenții și cercetarea" din cadrul Zilelor Universității de Medicină și Farm</w:t>
      </w:r>
      <w:r w:rsidR="001B1DFA">
        <w:rPr>
          <w:sz w:val="18"/>
          <w:szCs w:val="18"/>
        </w:rPr>
        <w:t>acie "Victor Babeș" desfășurat î</w:t>
      </w:r>
      <w:r>
        <w:rPr>
          <w:sz w:val="18"/>
          <w:szCs w:val="18"/>
        </w:rPr>
        <w:t>n decembrie 2018, în Timișoara, România pentru prezentarea orală a lucrării "The use of dental adhesives loaded with magnetic nanoparticles for improving the bond between teeth and direct veneers"; Autori: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AC, coordonatori științifici: Prof. Dr. Sinescu C, Prof. Dr. Negruțiu ML;</w:t>
      </w:r>
    </w:p>
    <w:p w:rsidR="004863A6" w:rsidRPr="00CD7CD3" w:rsidRDefault="00EB7E55" w:rsidP="00CD7CD3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Premiul I </w:t>
      </w:r>
      <w:r>
        <w:rPr>
          <w:sz w:val="18"/>
          <w:szCs w:val="18"/>
        </w:rPr>
        <w:t xml:space="preserve">obținut la Congresul Internațional de Medicină Dentară pentru studenți și tineri medici Dentim 2019, ediția a 13-a, desfășurat în 10-13 aprilie 2019 în Timișoara, România pentru prezentarea orală a lucrării "Adhesive loaded with magnetic </w:t>
      </w:r>
      <w:r>
        <w:rPr>
          <w:sz w:val="18"/>
          <w:szCs w:val="18"/>
        </w:rPr>
        <w:lastRenderedPageBreak/>
        <w:t>nanoparticles used for reducing the thickness of the adhesive layer between teeth and direct veneers"; Autori</w:t>
      </w:r>
      <w:r>
        <w:rPr>
          <w:sz w:val="18"/>
          <w:szCs w:val="18"/>
          <w:u w:val="single"/>
        </w:rPr>
        <w:t>: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Cojocariu AC, Zaharia C; Coordonatori științifici: Prof. Dr. Sinescu C, Prof. Dr. Negruțiu ML;</w:t>
      </w:r>
    </w:p>
    <w:p w:rsidR="00CD7CD3" w:rsidRDefault="00CD7CD3" w:rsidP="00CD7CD3">
      <w:pPr>
        <w:widowControl/>
        <w:shd w:val="clear" w:color="auto" w:fill="FFFFFF"/>
        <w:spacing w:before="280" w:after="280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Cursuri/Workshop-uri internaţionale: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spacing w:before="280"/>
        <w:jc w:val="both"/>
        <w:rPr>
          <w:sz w:val="18"/>
          <w:szCs w:val="18"/>
        </w:rPr>
      </w:pPr>
      <w:r>
        <w:rPr>
          <w:i/>
          <w:sz w:val="18"/>
          <w:szCs w:val="18"/>
        </w:rPr>
        <w:t>Stagiu de cercetare la</w:t>
      </w:r>
      <w:r>
        <w:rPr>
          <w:sz w:val="18"/>
          <w:szCs w:val="18"/>
        </w:rPr>
        <w:t xml:space="preserve"> School of Physical Sciences – University of Kent, Canterbury, UK, August, 2016, în urma stagiului, am obținut un atestat intitulat </w:t>
      </w:r>
      <w:r w:rsidRPr="00010FC0">
        <w:rPr>
          <w:i/>
          <w:sz w:val="18"/>
          <w:szCs w:val="18"/>
        </w:rPr>
        <w:t>Certificate of Registration as a LASER Worker in the University Laboratories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rPr>
          <w:sz w:val="18"/>
          <w:szCs w:val="18"/>
        </w:rPr>
      </w:pPr>
      <w:r w:rsidRPr="00010FC0">
        <w:rPr>
          <w:i/>
          <w:sz w:val="18"/>
          <w:szCs w:val="18"/>
        </w:rPr>
        <w:t>Aesthetic Dentistry Congress</w:t>
      </w:r>
      <w:r>
        <w:rPr>
          <w:sz w:val="18"/>
          <w:szCs w:val="18"/>
        </w:rPr>
        <w:t>, 16-19 iulie 2018, Monaco.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rPr>
          <w:sz w:val="18"/>
          <w:szCs w:val="18"/>
        </w:rPr>
      </w:pPr>
      <w:r w:rsidRPr="00010FC0">
        <w:rPr>
          <w:i/>
          <w:sz w:val="18"/>
          <w:szCs w:val="18"/>
        </w:rPr>
        <w:t>Altering The Vertical Dimension Case Studies</w:t>
      </w:r>
      <w:r>
        <w:rPr>
          <w:sz w:val="18"/>
          <w:szCs w:val="18"/>
        </w:rPr>
        <w:t>, Dr. Stephen Phelan, January 19 2021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rPr>
          <w:sz w:val="18"/>
          <w:szCs w:val="18"/>
        </w:rPr>
      </w:pPr>
      <w:r w:rsidRPr="00010FC0">
        <w:rPr>
          <w:i/>
          <w:sz w:val="18"/>
          <w:szCs w:val="18"/>
        </w:rPr>
        <w:t>Porcelain Veneers: Precision Preparation Techniques</w:t>
      </w:r>
      <w:r>
        <w:rPr>
          <w:sz w:val="18"/>
          <w:szCs w:val="18"/>
        </w:rPr>
        <w:t>, Dr. Stephen Phelan, Dr. Rinesh Ganatra, January 26 2021</w:t>
      </w:r>
    </w:p>
    <w:p w:rsidR="00CD7CD3" w:rsidRPr="00CD7CD3" w:rsidRDefault="00CD7CD3" w:rsidP="00CD7CD3">
      <w:pPr>
        <w:widowControl/>
        <w:numPr>
          <w:ilvl w:val="0"/>
          <w:numId w:val="1"/>
        </w:numPr>
        <w:shd w:val="clear" w:color="auto" w:fill="FFFFFF"/>
        <w:spacing w:after="280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Pre-treatment of indirect restorations prior to cementation</w:t>
      </w:r>
      <w:r>
        <w:rPr>
          <w:sz w:val="18"/>
          <w:szCs w:val="18"/>
        </w:rPr>
        <w:t>, webinar Ivoclar Vivadent, Dr. Kopikrishna Thirunelakandan, February 11 2021</w:t>
      </w:r>
    </w:p>
    <w:p w:rsidR="00CD7CD3" w:rsidRDefault="00CD7CD3" w:rsidP="00CD7CD3">
      <w:pPr>
        <w:widowControl/>
        <w:shd w:val="clear" w:color="auto" w:fill="FFFFFF"/>
        <w:spacing w:before="280" w:after="280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Cursuri/Workshop-uri naţionale:</w:t>
      </w:r>
    </w:p>
    <w:p w:rsidR="00CD7CD3" w:rsidRPr="00CD7CD3" w:rsidRDefault="00CD7CD3" w:rsidP="00CD7CD3">
      <w:pPr>
        <w:pStyle w:val="ListParagraph"/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r w:rsidRPr="00CD7CD3">
        <w:rPr>
          <w:i/>
          <w:sz w:val="18"/>
          <w:szCs w:val="18"/>
        </w:rPr>
        <w:t>Antreprenoriat în Medicina Dentară</w:t>
      </w:r>
      <w:r w:rsidRPr="00CD7CD3">
        <w:rPr>
          <w:sz w:val="18"/>
          <w:szCs w:val="18"/>
        </w:rPr>
        <w:t>, organizată de către Universitatea de Medicină și Farmacie "Victor Babeș" din Timișoara, 16-17 iulie 2019;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ind w:left="357" w:hanging="357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Abordări interdisciplinare în amprentarea optică și metodologia evaluărilor și pronosticului din medicina dentară</w:t>
      </w:r>
      <w:r>
        <w:rPr>
          <w:sz w:val="18"/>
          <w:szCs w:val="18"/>
        </w:rPr>
        <w:t>, 25 iunie 2016, Timișoara, Romania;</w:t>
      </w:r>
    </w:p>
    <w:p w:rsidR="00CD7CD3" w:rsidRPr="00010FC0" w:rsidRDefault="00CD7CD3" w:rsidP="00CD7CD3">
      <w:pPr>
        <w:widowControl/>
        <w:numPr>
          <w:ilvl w:val="0"/>
          <w:numId w:val="1"/>
        </w:numPr>
        <w:shd w:val="clear" w:color="auto" w:fill="FFFFFF"/>
        <w:ind w:left="357" w:hanging="357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Morfologia și bioarhitectura restaurărilor posterioare și anterioare: de la ceară la compozit</w:t>
      </w:r>
      <w:r w:rsidRPr="00010FC0">
        <w:rPr>
          <w:sz w:val="18"/>
          <w:szCs w:val="18"/>
        </w:rPr>
        <w:t xml:space="preserve"> – Modul 1: Posteriori – București,  22-23 aprilie 2016;</w:t>
      </w:r>
    </w:p>
    <w:p w:rsidR="00CD7CD3" w:rsidRDefault="00CD7CD3" w:rsidP="00CD7CD3">
      <w:pPr>
        <w:numPr>
          <w:ilvl w:val="0"/>
          <w:numId w:val="1"/>
        </w:numPr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Reabilitări estetice complexe cu echilibrări ocluzale: etape de lucru și comunicarea cabinet-laborator</w:t>
      </w:r>
      <w:r>
        <w:rPr>
          <w:sz w:val="18"/>
          <w:szCs w:val="18"/>
        </w:rPr>
        <w:t xml:space="preserve"> – Cluj-Napoca, 16 aprilie 2016;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TIMMED 2016 – The international Workshop on Techniques for the assessment of student scientific projects in the context of their integration in applied research</w:t>
      </w:r>
      <w:r>
        <w:rPr>
          <w:sz w:val="18"/>
          <w:szCs w:val="18"/>
        </w:rPr>
        <w:t xml:space="preserve"> – 4th november 2016;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International course "Students as Peer Tutors and Mentors"</w:t>
      </w:r>
      <w:r>
        <w:rPr>
          <w:sz w:val="18"/>
          <w:szCs w:val="18"/>
        </w:rPr>
        <w:t>, organizat de Universitatea de Medicină și Farmacie "Victor Babeș" din Timișoara, 7-8 February 2017;</w:t>
      </w:r>
    </w:p>
    <w:p w:rsidR="00CD7CD3" w:rsidRDefault="00CD7CD3" w:rsidP="00CD7CD3">
      <w:pPr>
        <w:widowControl/>
        <w:numPr>
          <w:ilvl w:val="0"/>
          <w:numId w:val="1"/>
        </w:numPr>
        <w:shd w:val="clear" w:color="auto" w:fill="FFFFFF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Professional training activity in the International Congress Bioremed</w:t>
      </w:r>
      <w:r>
        <w:rPr>
          <w:sz w:val="18"/>
          <w:szCs w:val="18"/>
        </w:rPr>
        <w:t xml:space="preserve"> 2017, 5-7 octombrie 2017, Timișoara, Romania</w:t>
      </w:r>
    </w:p>
    <w:p w:rsidR="00CD7CD3" w:rsidRDefault="00CD7CD3" w:rsidP="00CD7CD3">
      <w:pPr>
        <w:numPr>
          <w:ilvl w:val="0"/>
          <w:numId w:val="1"/>
        </w:numPr>
        <w:ind w:left="357" w:hanging="357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Workshop "Aptitudini de bază în chirurgia orală"</w:t>
      </w:r>
      <w:r>
        <w:rPr>
          <w:sz w:val="18"/>
          <w:szCs w:val="18"/>
        </w:rPr>
        <w:t>, editia I, 24-25 noiembrie 2018;</w:t>
      </w:r>
    </w:p>
    <w:p w:rsidR="00CD7CD3" w:rsidRDefault="00CD7CD3" w:rsidP="00CD7CD3">
      <w:pPr>
        <w:numPr>
          <w:ilvl w:val="0"/>
          <w:numId w:val="1"/>
        </w:numPr>
        <w:ind w:left="357" w:hanging="357"/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Workshop "New trends in Interdisciplinary Teaching Methods Assessment"</w:t>
      </w:r>
      <w:r>
        <w:rPr>
          <w:sz w:val="18"/>
          <w:szCs w:val="18"/>
        </w:rPr>
        <w:t>, Timisoara Medical Education Days "Students as Teachers", 8 martie 2019, Timișoara, Romania;</w:t>
      </w:r>
    </w:p>
    <w:p w:rsidR="00CD7CD3" w:rsidRDefault="00CD7CD3" w:rsidP="00CD7CD3">
      <w:pPr>
        <w:numPr>
          <w:ilvl w:val="0"/>
          <w:numId w:val="1"/>
        </w:numPr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Workshop "Diagnosticul și Managementul leziunilor incipiente de carie"</w:t>
      </w:r>
      <w:r>
        <w:rPr>
          <w:sz w:val="18"/>
          <w:szCs w:val="18"/>
        </w:rPr>
        <w:t>, organizat de Colgate-Palmolive Romania, 06 aprilie 2019;</w:t>
      </w:r>
    </w:p>
    <w:p w:rsidR="00CD7CD3" w:rsidRDefault="00CD7CD3" w:rsidP="00CD7CD3">
      <w:pPr>
        <w:numPr>
          <w:ilvl w:val="0"/>
          <w:numId w:val="1"/>
        </w:numPr>
        <w:jc w:val="both"/>
        <w:rPr>
          <w:sz w:val="18"/>
          <w:szCs w:val="18"/>
        </w:rPr>
      </w:pPr>
      <w:r w:rsidRPr="00010FC0">
        <w:rPr>
          <w:i/>
          <w:sz w:val="18"/>
          <w:szCs w:val="18"/>
        </w:rPr>
        <w:t>Webinar Elmex "Tratamentul medicamentos al durerii din sfera oro-facial</w:t>
      </w:r>
      <w:r>
        <w:rPr>
          <w:i/>
          <w:sz w:val="18"/>
          <w:szCs w:val="18"/>
        </w:rPr>
        <w:t>ӑ</w:t>
      </w:r>
      <w:r w:rsidRPr="00010FC0">
        <w:rPr>
          <w:i/>
          <w:sz w:val="18"/>
          <w:szCs w:val="18"/>
        </w:rPr>
        <w:t>"</w:t>
      </w:r>
      <w:r>
        <w:rPr>
          <w:sz w:val="18"/>
          <w:szCs w:val="18"/>
        </w:rPr>
        <w:t xml:space="preserve"> susţinut de Prof. Dr. Robert Ancuceanu, 04.11.2020;</w:t>
      </w:r>
    </w:p>
    <w:p w:rsidR="00CD7CD3" w:rsidRDefault="00CD7CD3" w:rsidP="00CD7CD3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Eficienta de lucru la 4 mâini, organizator Dr Camil Ianes , 21.11.2020;</w:t>
      </w:r>
    </w:p>
    <w:p w:rsidR="00CD7CD3" w:rsidRDefault="00CD7CD3" w:rsidP="00CD7CD3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Curs “STRUCTURE”, 3-4 decembrie 2021, organizator Dr Alex Ruginӑ;</w:t>
      </w:r>
    </w:p>
    <w:p w:rsidR="00CD7CD3" w:rsidRPr="00CD7CD3" w:rsidRDefault="00CD7CD3" w:rsidP="00CD7CD3">
      <w:pPr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Curs “ADHESION”, 15-16 ianuarie 2022, organizator Dr Alex Ruginӑ;</w:t>
      </w:r>
    </w:p>
    <w:p w:rsidR="00CD7CD3" w:rsidRDefault="00CD7CD3" w:rsidP="00CD7CD3">
      <w:pPr>
        <w:widowControl/>
        <w:shd w:val="clear" w:color="auto" w:fill="FFFFFF"/>
        <w:spacing w:before="280" w:after="280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Activități organizatorice:</w:t>
      </w:r>
    </w:p>
    <w:p w:rsidR="00CD7CD3" w:rsidRPr="00CD7CD3" w:rsidRDefault="00CD7CD3" w:rsidP="00CD7CD3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 w:rsidRPr="00CD7CD3">
        <w:rPr>
          <w:b/>
          <w:sz w:val="18"/>
          <w:szCs w:val="18"/>
        </w:rPr>
        <w:t xml:space="preserve">Organizarea Workshopului intitulat "Apollo Di Digital Impression System" </w:t>
      </w:r>
      <w:r>
        <w:rPr>
          <w:sz w:val="18"/>
          <w:szCs w:val="18"/>
        </w:rPr>
        <w:t>în cadrul Congresului Internațional de Medicină Dentară pentru studenți și tineri medici, Dentim 2016, desfășurat în 7-9 aprilie 2016 în Timișoara, România. Autori: Neagu CS , Stan AT. In cadrul workshopului, studenții participanți au participat la o prezentare științifică legată de istoria sistemelor de amprentare optică, de avantajele acestora față de amprentarea convenţională şi despre modul de funcționare. La finalul prezentării, fiecare student a testat și a fost familiarizat cu sistemul de amprentare optică Apollo Di din dotarea Facultății de Medicină Dentară din Timișoara.</w:t>
      </w:r>
    </w:p>
    <w:p w:rsidR="004863A6" w:rsidRDefault="00EB7E55">
      <w:pPr>
        <w:widowControl/>
        <w:shd w:val="clear" w:color="auto" w:fill="FFFFFF"/>
        <w:spacing w:before="280" w:after="280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Participări active la manifestări științifice :</w:t>
      </w:r>
    </w:p>
    <w:p w:rsidR="004863A6" w:rsidRPr="00CD7CD3" w:rsidRDefault="00EB7E55">
      <w:pPr>
        <w:widowControl/>
        <w:shd w:val="clear" w:color="auto" w:fill="FFFFFF"/>
        <w:spacing w:before="280" w:after="280"/>
        <w:rPr>
          <w:sz w:val="18"/>
          <w:szCs w:val="18"/>
        </w:rPr>
      </w:pPr>
      <w:r w:rsidRPr="00CD7CD3">
        <w:rPr>
          <w:b/>
          <w:sz w:val="18"/>
          <w:szCs w:val="18"/>
        </w:rPr>
        <w:t>Internaționale :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AC, Ionel RC, Topală F, Romînu M, Negruţiu ML, Duma VF, Podoleanu AG, Sinescu C;</w:t>
      </w:r>
      <w:r w:rsidR="001B1DFA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Poster "Optical Coherence Tomography employed for veneer interface evaluation", </w:t>
      </w:r>
      <w:r>
        <w:rPr>
          <w:sz w:val="18"/>
          <w:szCs w:val="18"/>
        </w:rPr>
        <w:t xml:space="preserve">FDI Annual </w:t>
      </w:r>
      <w:r w:rsidR="00BD7C0C">
        <w:rPr>
          <w:sz w:val="18"/>
          <w:szCs w:val="18"/>
        </w:rPr>
        <w:t>W</w:t>
      </w:r>
      <w:r>
        <w:rPr>
          <w:sz w:val="18"/>
          <w:szCs w:val="18"/>
        </w:rPr>
        <w:t xml:space="preserve">orld </w:t>
      </w:r>
      <w:r w:rsidR="00BD7C0C">
        <w:rPr>
          <w:sz w:val="18"/>
          <w:szCs w:val="18"/>
        </w:rPr>
        <w:t>D</w:t>
      </w:r>
      <w:r>
        <w:rPr>
          <w:sz w:val="18"/>
          <w:szCs w:val="18"/>
        </w:rPr>
        <w:t xml:space="preserve">ental </w:t>
      </w:r>
      <w:r w:rsidR="00BD7C0C">
        <w:rPr>
          <w:sz w:val="18"/>
          <w:szCs w:val="18"/>
        </w:rPr>
        <w:t>C</w:t>
      </w:r>
      <w:r>
        <w:rPr>
          <w:sz w:val="18"/>
          <w:szCs w:val="18"/>
        </w:rPr>
        <w:t>ongress, 7-10 septembrie 2016</w:t>
      </w:r>
      <w:r w:rsidR="00BD7C0C">
        <w:rPr>
          <w:sz w:val="18"/>
          <w:szCs w:val="18"/>
        </w:rPr>
        <w:t>,</w:t>
      </w:r>
      <w:r>
        <w:rPr>
          <w:sz w:val="18"/>
          <w:szCs w:val="18"/>
        </w:rPr>
        <w:t xml:space="preserve"> Poznan, Polonia 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 Cojocariu AC, Ionel RC, Topală F, Romînu M, Negruţiu ML, Duma VF, Podoleanu AG, Sinescu C;</w:t>
      </w:r>
      <w:r w:rsidR="0010607A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Poster, "Optical Coherence Tomography employed for veneer interface evaluation", </w:t>
      </w:r>
      <w:r>
        <w:rPr>
          <w:sz w:val="18"/>
          <w:szCs w:val="18"/>
        </w:rPr>
        <w:t xml:space="preserve">Greater New York Dental Meeting, 25-30 </w:t>
      </w:r>
      <w:r w:rsidR="00BD7C0C">
        <w:rPr>
          <w:sz w:val="18"/>
          <w:szCs w:val="18"/>
        </w:rPr>
        <w:t>noiembrie 2016, New York, USA</w:t>
      </w:r>
    </w:p>
    <w:p w:rsidR="004863A6" w:rsidRDefault="0010607A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>Pepa M, Ţâ</w:t>
      </w:r>
      <w:r w:rsidR="00EB7E55">
        <w:rPr>
          <w:sz w:val="18"/>
          <w:szCs w:val="18"/>
        </w:rPr>
        <w:t xml:space="preserve">rlui V, </w:t>
      </w:r>
      <w:r w:rsidR="00EB7E55">
        <w:rPr>
          <w:b/>
          <w:sz w:val="18"/>
          <w:szCs w:val="18"/>
          <w:u w:val="single"/>
        </w:rPr>
        <w:t>Neagu CS</w:t>
      </w:r>
      <w:r w:rsidR="00EB7E55">
        <w:rPr>
          <w:sz w:val="18"/>
          <w:szCs w:val="18"/>
        </w:rPr>
        <w:t>, Filip A, Rotaru V,</w:t>
      </w:r>
      <w:r>
        <w:rPr>
          <w:b/>
          <w:sz w:val="18"/>
          <w:szCs w:val="18"/>
        </w:rPr>
        <w:t xml:space="preserve"> P</w:t>
      </w:r>
      <w:r w:rsidR="00EB7E55">
        <w:rPr>
          <w:b/>
          <w:sz w:val="18"/>
          <w:szCs w:val="18"/>
        </w:rPr>
        <w:t xml:space="preserve">oster "A case study of formative feedback significance in gaining specific skills towards a successful long term medical career", </w:t>
      </w:r>
      <w:r w:rsidR="00EB7E55">
        <w:rPr>
          <w:sz w:val="18"/>
          <w:szCs w:val="18"/>
        </w:rPr>
        <w:t>21st Graz Conference on "Motivating feedback for satisfied teachers and students", 20-22 aprilie 2017</w:t>
      </w:r>
      <w:r w:rsidR="00BD7C0C">
        <w:rPr>
          <w:sz w:val="18"/>
          <w:szCs w:val="18"/>
        </w:rPr>
        <w:t>,</w:t>
      </w:r>
      <w:r w:rsidR="00EB7E55">
        <w:rPr>
          <w:sz w:val="18"/>
          <w:szCs w:val="18"/>
        </w:rPr>
        <w:t xml:space="preserve">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Negruțiu ML, Sinescu C, Cojocariu AC, Antal A,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  <w:u w:val="single"/>
        </w:rPr>
        <w:t>,</w:t>
      </w:r>
      <w:r>
        <w:rPr>
          <w:sz w:val="18"/>
          <w:szCs w:val="18"/>
        </w:rPr>
        <w:t xml:space="preserve"> Stan AT</w:t>
      </w:r>
      <w:r w:rsidR="0010607A">
        <w:rPr>
          <w:sz w:val="18"/>
          <w:szCs w:val="18"/>
        </w:rPr>
        <w:t>;</w:t>
      </w:r>
      <w:r w:rsidR="0010607A">
        <w:rPr>
          <w:b/>
          <w:sz w:val="18"/>
          <w:szCs w:val="18"/>
        </w:rPr>
        <w:t xml:space="preserve"> P</w:t>
      </w:r>
      <w:r>
        <w:rPr>
          <w:b/>
          <w:sz w:val="18"/>
          <w:szCs w:val="18"/>
        </w:rPr>
        <w:t xml:space="preserve">oster "New assessment methods in students teaching and evaluation", </w:t>
      </w:r>
      <w:r>
        <w:rPr>
          <w:sz w:val="18"/>
          <w:szCs w:val="18"/>
        </w:rPr>
        <w:t>Association for Dental Education in Europe 43th Annual Meeting</w:t>
      </w:r>
      <w:r w:rsidR="00BD7C0C">
        <w:rPr>
          <w:sz w:val="18"/>
          <w:szCs w:val="18"/>
        </w:rPr>
        <w:t>,</w:t>
      </w:r>
      <w:r>
        <w:rPr>
          <w:sz w:val="18"/>
          <w:szCs w:val="18"/>
        </w:rPr>
        <w:t xml:space="preserve"> 23-25 august 2017</w:t>
      </w:r>
      <w:r w:rsidR="00BD7C0C">
        <w:rPr>
          <w:sz w:val="18"/>
          <w:szCs w:val="18"/>
        </w:rPr>
        <w:t>,</w:t>
      </w:r>
      <w:r>
        <w:rPr>
          <w:sz w:val="18"/>
          <w:szCs w:val="18"/>
        </w:rPr>
        <w:t xml:space="preserve"> Vilnius, Lituania 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>Negruțiu ML, Sinescu C, Crăciunescu E, Cojocariu AC, Stan AT,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  <w:u w:val="single"/>
        </w:rPr>
        <w:t xml:space="preserve">Neagu CS, </w:t>
      </w:r>
      <w:r>
        <w:rPr>
          <w:b/>
          <w:sz w:val="18"/>
          <w:szCs w:val="18"/>
        </w:rPr>
        <w:t xml:space="preserve">Poster "Modular versus classic teaching models in two university programs" </w:t>
      </w:r>
      <w:r>
        <w:rPr>
          <w:sz w:val="18"/>
          <w:szCs w:val="18"/>
        </w:rPr>
        <w:t>Association for Dental Education in Europe Annual Meeting</w:t>
      </w:r>
      <w:r w:rsidR="00BD7C0C">
        <w:rPr>
          <w:sz w:val="18"/>
          <w:szCs w:val="18"/>
        </w:rPr>
        <w:t>,</w:t>
      </w:r>
      <w:r>
        <w:rPr>
          <w:sz w:val="18"/>
          <w:szCs w:val="18"/>
        </w:rPr>
        <w:t xml:space="preserve"> 2018</w:t>
      </w:r>
      <w:r w:rsidR="00BD7C0C">
        <w:rPr>
          <w:sz w:val="18"/>
          <w:szCs w:val="18"/>
        </w:rPr>
        <w:t>,</w:t>
      </w:r>
      <w:r>
        <w:rPr>
          <w:sz w:val="18"/>
          <w:szCs w:val="18"/>
        </w:rPr>
        <w:t xml:space="preserve"> Oslo, Norvegia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Cojocariu AC, Negruțiu ML, Sinescu C,</w:t>
      </w:r>
      <w:r>
        <w:rPr>
          <w:b/>
          <w:sz w:val="18"/>
          <w:szCs w:val="18"/>
        </w:rPr>
        <w:t xml:space="preserve"> </w:t>
      </w:r>
      <w:r w:rsidR="0010607A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"The use of dental adhesives loaded with magnetic nanoparticles for improving the bond between teeth and direct veneers</w:t>
      </w:r>
      <w:r>
        <w:rPr>
          <w:sz w:val="18"/>
          <w:szCs w:val="18"/>
        </w:rPr>
        <w:t>", Congresul Cercurilor Științifice Studențești, secțiunea Medicină Dentară organizat de Universitatea de Științe din Szeged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14 noiembrie 2018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Boxer E,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Negruțiu ML, Sinescu C, </w:t>
      </w:r>
      <w:r w:rsidR="0010607A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"Impression Techniques: LEVEL UP</w:t>
      </w:r>
      <w:r>
        <w:rPr>
          <w:sz w:val="18"/>
          <w:szCs w:val="18"/>
        </w:rPr>
        <w:t>!",  Congresul Cercurilor Științifice Studențești, secțiunea Medicină Dentară organizată de Universitatea de Științe din Szeged</w:t>
      </w:r>
      <w:r w:rsidR="00DD46C6">
        <w:rPr>
          <w:sz w:val="18"/>
          <w:szCs w:val="18"/>
        </w:rPr>
        <w:t>,</w:t>
      </w:r>
      <w:r>
        <w:rPr>
          <w:sz w:val="18"/>
          <w:szCs w:val="18"/>
        </w:rPr>
        <w:t xml:space="preserve"> 14 noiembrie 2018</w:t>
      </w:r>
      <w:r w:rsidR="00DD46C6">
        <w:rPr>
          <w:sz w:val="18"/>
          <w:szCs w:val="18"/>
        </w:rPr>
        <w:t>,</w:t>
      </w:r>
      <w:r>
        <w:rPr>
          <w:sz w:val="18"/>
          <w:szCs w:val="18"/>
        </w:rPr>
        <w:t xml:space="preserve">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color w:val="181818"/>
          <w:sz w:val="18"/>
          <w:szCs w:val="18"/>
        </w:rPr>
        <w:t xml:space="preserve">Şerban Ch, </w:t>
      </w:r>
      <w:r>
        <w:rPr>
          <w:b/>
          <w:color w:val="181818"/>
          <w:sz w:val="18"/>
          <w:szCs w:val="18"/>
          <w:u w:val="single"/>
        </w:rPr>
        <w:t>Neagu CS</w:t>
      </w:r>
      <w:r>
        <w:rPr>
          <w:color w:val="181818"/>
          <w:sz w:val="18"/>
          <w:szCs w:val="18"/>
        </w:rPr>
        <w:t xml:space="preserve">. </w:t>
      </w:r>
      <w:r w:rsidR="0010607A">
        <w:rPr>
          <w:b/>
          <w:sz w:val="18"/>
          <w:szCs w:val="18"/>
        </w:rPr>
        <w:t>Prezentare oralӑ</w:t>
      </w:r>
      <w:r w:rsidR="0010607A">
        <w:rPr>
          <w:color w:val="181818"/>
          <w:sz w:val="18"/>
          <w:szCs w:val="18"/>
        </w:rPr>
        <w:t xml:space="preserve"> </w:t>
      </w:r>
      <w:r w:rsidR="0010607A" w:rsidRPr="0010607A">
        <w:rPr>
          <w:b/>
          <w:color w:val="181818"/>
          <w:sz w:val="18"/>
          <w:szCs w:val="18"/>
        </w:rPr>
        <w:t>„</w:t>
      </w:r>
      <w:r w:rsidRPr="0010607A">
        <w:rPr>
          <w:b/>
          <w:color w:val="181818"/>
          <w:sz w:val="18"/>
          <w:szCs w:val="18"/>
        </w:rPr>
        <w:t>Different Methods Applied in Cavities Identification</w:t>
      </w:r>
      <w:r w:rsidR="0010607A" w:rsidRPr="0010607A">
        <w:rPr>
          <w:b/>
          <w:color w:val="181818"/>
          <w:sz w:val="18"/>
          <w:szCs w:val="18"/>
        </w:rPr>
        <w:t>”</w:t>
      </w:r>
      <w:r>
        <w:rPr>
          <w:color w:val="181818"/>
          <w:sz w:val="18"/>
          <w:szCs w:val="18"/>
        </w:rPr>
        <w:t>. Tudomanyos Diakkori Konferencia (TDK)</w:t>
      </w:r>
      <w:r w:rsidR="00DD46C6">
        <w:rPr>
          <w:color w:val="181818"/>
          <w:sz w:val="18"/>
          <w:szCs w:val="18"/>
        </w:rPr>
        <w:t>,</w:t>
      </w:r>
      <w:r>
        <w:rPr>
          <w:color w:val="181818"/>
          <w:sz w:val="18"/>
          <w:szCs w:val="18"/>
        </w:rPr>
        <w:t xml:space="preserve"> 14-16 november 2018,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Neagu CS, </w:t>
      </w:r>
      <w:r>
        <w:rPr>
          <w:sz w:val="18"/>
          <w:szCs w:val="18"/>
        </w:rPr>
        <w:t>Cojocariu AC, Ionel RC, Topală F, Romînu M, Negruțiu ML, Duma VF, Podoleanu AG, Sinescu C,</w:t>
      </w:r>
      <w:r>
        <w:rPr>
          <w:b/>
          <w:sz w:val="18"/>
          <w:szCs w:val="18"/>
        </w:rPr>
        <w:t xml:space="preserve"> </w:t>
      </w:r>
      <w:r w:rsidR="0010607A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"Evaluation of the interface between tooth and direct veneer with two top technoloes: Optical Coherence Tomography and Micro Computed Tomography</w:t>
      </w:r>
      <w:r>
        <w:rPr>
          <w:sz w:val="18"/>
          <w:szCs w:val="18"/>
        </w:rPr>
        <w:t>" în cadrul Congresului Național al Societății de Protetică din Ungaria, 3-5 octombrie 2019</w:t>
      </w:r>
      <w:r w:rsidR="00DD46C6">
        <w:rPr>
          <w:sz w:val="18"/>
          <w:szCs w:val="18"/>
        </w:rPr>
        <w:t>,</w:t>
      </w:r>
      <w:r>
        <w:rPr>
          <w:sz w:val="18"/>
          <w:szCs w:val="18"/>
        </w:rPr>
        <w:t xml:space="preserve">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Șerban C, Boxer E,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Cîrligeriu L, Romînu M, Negruțiu ML, Sinescu C,</w:t>
      </w:r>
      <w:r w:rsidR="0010607A">
        <w:rPr>
          <w:b/>
          <w:sz w:val="18"/>
          <w:szCs w:val="18"/>
        </w:rPr>
        <w:t xml:space="preserve"> P</w:t>
      </w:r>
      <w:r>
        <w:rPr>
          <w:b/>
          <w:sz w:val="18"/>
          <w:szCs w:val="18"/>
        </w:rPr>
        <w:t xml:space="preserve">rezentare </w:t>
      </w:r>
      <w:r w:rsidR="0010607A">
        <w:rPr>
          <w:b/>
          <w:sz w:val="18"/>
          <w:szCs w:val="18"/>
        </w:rPr>
        <w:t>oralӑ</w:t>
      </w:r>
      <w:r>
        <w:rPr>
          <w:b/>
          <w:sz w:val="18"/>
          <w:szCs w:val="18"/>
        </w:rPr>
        <w:t xml:space="preserve"> "Different methods applied in cavities identifications</w:t>
      </w:r>
      <w:r>
        <w:rPr>
          <w:sz w:val="18"/>
          <w:szCs w:val="18"/>
        </w:rPr>
        <w:t>" în cadrul Congresului Național al Societății de Protetică din Ungaria, 3-5 octombrie 2019</w:t>
      </w:r>
      <w:r w:rsidR="00DD46C6">
        <w:rPr>
          <w:sz w:val="18"/>
          <w:szCs w:val="18"/>
        </w:rPr>
        <w:t>,</w:t>
      </w:r>
      <w:r>
        <w:rPr>
          <w:sz w:val="18"/>
          <w:szCs w:val="18"/>
        </w:rPr>
        <w:t xml:space="preserve">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2"/>
          <w:szCs w:val="12"/>
        </w:rPr>
      </w:pPr>
      <w:r>
        <w:rPr>
          <w:b/>
          <w:color w:val="181818"/>
          <w:sz w:val="18"/>
          <w:szCs w:val="18"/>
          <w:u w:val="single"/>
        </w:rPr>
        <w:t>Neagu C</w:t>
      </w:r>
      <w:r>
        <w:rPr>
          <w:b/>
          <w:color w:val="181818"/>
          <w:sz w:val="18"/>
          <w:szCs w:val="18"/>
        </w:rPr>
        <w:t xml:space="preserve">, </w:t>
      </w:r>
      <w:r w:rsidR="0010607A">
        <w:rPr>
          <w:b/>
          <w:color w:val="181818"/>
          <w:sz w:val="18"/>
          <w:szCs w:val="18"/>
        </w:rPr>
        <w:t xml:space="preserve">Prezentare oralӑ </w:t>
      </w:r>
      <w:r w:rsidR="0010607A" w:rsidRPr="00DD46C6">
        <w:rPr>
          <w:b/>
          <w:color w:val="181818"/>
          <w:sz w:val="18"/>
          <w:szCs w:val="18"/>
        </w:rPr>
        <w:t>„</w:t>
      </w:r>
      <w:r w:rsidRPr="00DD46C6">
        <w:rPr>
          <w:b/>
          <w:color w:val="181818"/>
          <w:sz w:val="18"/>
          <w:szCs w:val="18"/>
        </w:rPr>
        <w:t>Evaluation of the interface between tooth and direct veneer with two top technologies: Optical Coherence Tomography and Micro Computed Tomography</w:t>
      </w:r>
      <w:r w:rsidR="0010607A" w:rsidRPr="00DD46C6">
        <w:rPr>
          <w:b/>
          <w:color w:val="181818"/>
          <w:sz w:val="18"/>
          <w:szCs w:val="18"/>
        </w:rPr>
        <w:t>”</w:t>
      </w:r>
      <w:r>
        <w:rPr>
          <w:color w:val="181818"/>
          <w:sz w:val="18"/>
          <w:szCs w:val="18"/>
        </w:rPr>
        <w:t>. Tudomanyos Diakkori Konferencia (TDK)</w:t>
      </w:r>
      <w:r w:rsidR="00DD46C6">
        <w:rPr>
          <w:color w:val="181818"/>
          <w:sz w:val="18"/>
          <w:szCs w:val="18"/>
        </w:rPr>
        <w:t>,</w:t>
      </w:r>
      <w:r>
        <w:rPr>
          <w:color w:val="181818"/>
          <w:sz w:val="18"/>
          <w:szCs w:val="18"/>
        </w:rPr>
        <w:t xml:space="preserve"> 13-15 november 2019, Szeged, Ungaria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Balica A, Roman B, Cojocariu AC, Zaharia C, Romînu M, Negruțiu ML and Sinescu C, </w:t>
      </w:r>
      <w:r w:rsidR="00B57ED5" w:rsidRPr="00B57ED5">
        <w:rPr>
          <w:b/>
          <w:sz w:val="18"/>
          <w:szCs w:val="18"/>
        </w:rPr>
        <w:t>Prezentare oralӑ „</w:t>
      </w:r>
      <w:r w:rsidRPr="00B57ED5">
        <w:rPr>
          <w:b/>
          <w:sz w:val="18"/>
          <w:szCs w:val="18"/>
        </w:rPr>
        <w:t>Dental adhesives reinforced with magnetic nanoparticles</w:t>
      </w:r>
      <w:r w:rsidR="00B57ED5" w:rsidRPr="00B57ED5">
        <w:rPr>
          <w:b/>
          <w:sz w:val="18"/>
          <w:szCs w:val="18"/>
        </w:rPr>
        <w:t>”</w:t>
      </w:r>
      <w:r>
        <w:rPr>
          <w:sz w:val="18"/>
          <w:szCs w:val="18"/>
        </w:rPr>
        <w:t xml:space="preserve">, </w:t>
      </w:r>
      <w:r w:rsidR="00DD46C6">
        <w:rPr>
          <w:color w:val="181818"/>
          <w:sz w:val="18"/>
          <w:szCs w:val="18"/>
        </w:rPr>
        <w:t>8th International Conference on Materials Science and Technologies</w:t>
      </w:r>
      <w:r w:rsidR="00DD46C6">
        <w:rPr>
          <w:sz w:val="18"/>
          <w:szCs w:val="18"/>
        </w:rPr>
        <w:t xml:space="preserve"> (</w:t>
      </w:r>
      <w:r>
        <w:rPr>
          <w:sz w:val="18"/>
          <w:szCs w:val="18"/>
        </w:rPr>
        <w:t>RoMat</w:t>
      </w:r>
      <w:r w:rsidR="00DD46C6">
        <w:rPr>
          <w:sz w:val="18"/>
          <w:szCs w:val="18"/>
        </w:rPr>
        <w:t>)</w:t>
      </w:r>
      <w:r>
        <w:rPr>
          <w:sz w:val="18"/>
          <w:szCs w:val="18"/>
        </w:rPr>
        <w:t>, 26-27</w:t>
      </w:r>
      <w:r w:rsidR="00DD46C6">
        <w:rPr>
          <w:sz w:val="18"/>
          <w:szCs w:val="18"/>
        </w:rPr>
        <w:t xml:space="preserve"> noiembrie </w:t>
      </w:r>
      <w:r>
        <w:rPr>
          <w:sz w:val="18"/>
          <w:szCs w:val="18"/>
        </w:rPr>
        <w:t>2020</w:t>
      </w:r>
      <w:r w:rsidR="00B57ED5">
        <w:rPr>
          <w:sz w:val="18"/>
          <w:szCs w:val="18"/>
        </w:rPr>
        <w:t xml:space="preserve">, </w:t>
      </w:r>
      <w:r w:rsidR="00DD46C6">
        <w:rPr>
          <w:sz w:val="18"/>
          <w:szCs w:val="18"/>
        </w:rPr>
        <w:t>Bucharest</w:t>
      </w:r>
      <w:r w:rsidR="00B57ED5">
        <w:rPr>
          <w:sz w:val="18"/>
          <w:szCs w:val="18"/>
        </w:rPr>
        <w:t>, Romania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Chebici S, Romînu M, Negruțiu ML, Sinescu C, </w:t>
      </w:r>
      <w:r w:rsidR="00DD46C6" w:rsidRPr="00DD46C6">
        <w:rPr>
          <w:b/>
          <w:sz w:val="18"/>
          <w:szCs w:val="18"/>
        </w:rPr>
        <w:t>Prezentare oralӑ „</w:t>
      </w:r>
      <w:r w:rsidRPr="00DD46C6">
        <w:rPr>
          <w:b/>
          <w:sz w:val="18"/>
          <w:szCs w:val="18"/>
        </w:rPr>
        <w:t>The impression guide – a new tool designed for better dental impressions</w:t>
      </w:r>
      <w:r w:rsidR="00DD46C6" w:rsidRPr="00DD46C6">
        <w:rPr>
          <w:b/>
          <w:sz w:val="18"/>
          <w:szCs w:val="18"/>
        </w:rPr>
        <w:t>”</w:t>
      </w:r>
      <w:r>
        <w:rPr>
          <w:sz w:val="18"/>
          <w:szCs w:val="18"/>
        </w:rPr>
        <w:t xml:space="preserve">, </w:t>
      </w:r>
      <w:r w:rsidR="00DD46C6">
        <w:rPr>
          <w:color w:val="181818"/>
          <w:sz w:val="18"/>
          <w:szCs w:val="18"/>
        </w:rPr>
        <w:t>8th International Conference on Materials Science and Technologies</w:t>
      </w:r>
      <w:r w:rsidR="00DD46C6">
        <w:rPr>
          <w:sz w:val="18"/>
          <w:szCs w:val="18"/>
        </w:rPr>
        <w:t xml:space="preserve"> (RoMat), 26-27 noiembrie 2020, Bucharest, Romania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2"/>
          <w:szCs w:val="12"/>
        </w:rPr>
      </w:pPr>
      <w:r>
        <w:rPr>
          <w:color w:val="181818"/>
          <w:sz w:val="18"/>
          <w:szCs w:val="18"/>
        </w:rPr>
        <w:t xml:space="preserve">Şerban Ch, Sinescu C, </w:t>
      </w:r>
      <w:r>
        <w:rPr>
          <w:b/>
          <w:color w:val="181818"/>
          <w:sz w:val="18"/>
          <w:szCs w:val="18"/>
          <w:u w:val="single"/>
        </w:rPr>
        <w:t>Neagu C</w:t>
      </w:r>
      <w:r>
        <w:rPr>
          <w:color w:val="181818"/>
          <w:sz w:val="18"/>
          <w:szCs w:val="18"/>
        </w:rPr>
        <w:t xml:space="preserve">, Cojocariu CA, Negruţiu ML, Cîrligeru L. </w:t>
      </w:r>
      <w:r w:rsidR="00DD46C6" w:rsidRPr="00DD46C6">
        <w:rPr>
          <w:b/>
          <w:color w:val="181818"/>
          <w:sz w:val="18"/>
          <w:szCs w:val="18"/>
        </w:rPr>
        <w:t>Prezentare oral”ӑ</w:t>
      </w:r>
      <w:r w:rsidRPr="00DD46C6">
        <w:rPr>
          <w:b/>
          <w:color w:val="181818"/>
          <w:sz w:val="18"/>
          <w:szCs w:val="18"/>
        </w:rPr>
        <w:t>Comparison of Various Methods in Detection and Assessment of Dental Caries</w:t>
      </w:r>
      <w:r w:rsidR="00DD46C6" w:rsidRPr="00DD46C6">
        <w:rPr>
          <w:b/>
          <w:color w:val="181818"/>
          <w:sz w:val="18"/>
          <w:szCs w:val="18"/>
        </w:rPr>
        <w:t>”</w:t>
      </w:r>
      <w:r>
        <w:rPr>
          <w:color w:val="181818"/>
          <w:sz w:val="18"/>
          <w:szCs w:val="18"/>
        </w:rPr>
        <w:t xml:space="preserve">. </w:t>
      </w:r>
      <w:r w:rsidR="00DD46C6">
        <w:rPr>
          <w:color w:val="181818"/>
          <w:sz w:val="18"/>
          <w:szCs w:val="18"/>
        </w:rPr>
        <w:t>8th International Conference on Materials Science and Technologies</w:t>
      </w:r>
      <w:r w:rsidR="00DD46C6">
        <w:rPr>
          <w:sz w:val="18"/>
          <w:szCs w:val="18"/>
        </w:rPr>
        <w:t xml:space="preserve"> (RoMat), 26-27 noiembrie 2020, Bucharest, Romania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Chebici S, Romînu M, Negruțiu ML, Sinescu C, </w:t>
      </w:r>
      <w:r w:rsidR="00DD46C6" w:rsidRPr="00DD46C6">
        <w:rPr>
          <w:b/>
          <w:sz w:val="18"/>
          <w:szCs w:val="18"/>
        </w:rPr>
        <w:t>Prezentare oralӑ „</w:t>
      </w:r>
      <w:r w:rsidRPr="00DD46C6">
        <w:rPr>
          <w:b/>
          <w:sz w:val="18"/>
          <w:szCs w:val="18"/>
        </w:rPr>
        <w:t>The use of the impression guide in the classical impression techniques</w:t>
      </w:r>
      <w:r w:rsidR="00780A52">
        <w:rPr>
          <w:b/>
          <w:sz w:val="18"/>
          <w:szCs w:val="18"/>
        </w:rPr>
        <w:t>”</w:t>
      </w:r>
      <w:r w:rsidRPr="00DD46C6">
        <w:rPr>
          <w:b/>
          <w:sz w:val="18"/>
          <w:szCs w:val="18"/>
        </w:rPr>
        <w:t xml:space="preserve">, </w:t>
      </w:r>
      <w:r w:rsidRPr="00780A52">
        <w:rPr>
          <w:sz w:val="18"/>
          <w:szCs w:val="18"/>
        </w:rPr>
        <w:t>1st Workshop on Structural Integrity of Additively Manufactured Materials</w:t>
      </w:r>
      <w:r w:rsidR="00780A52">
        <w:rPr>
          <w:sz w:val="18"/>
          <w:szCs w:val="18"/>
        </w:rPr>
        <w:t xml:space="preserve"> -</w:t>
      </w:r>
      <w:r w:rsidR="00780A52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SIAMM21</w:t>
      </w:r>
      <w:r w:rsidR="00780A52">
        <w:rPr>
          <w:sz w:val="18"/>
          <w:szCs w:val="18"/>
        </w:rPr>
        <w:t xml:space="preserve">, </w:t>
      </w:r>
      <w:r w:rsidR="00780A52" w:rsidRPr="00780A52">
        <w:rPr>
          <w:sz w:val="18"/>
          <w:szCs w:val="18"/>
        </w:rPr>
        <w:t xml:space="preserve">25-26 february 2021, </w:t>
      </w:r>
      <w:r>
        <w:rPr>
          <w:sz w:val="18"/>
          <w:szCs w:val="18"/>
        </w:rPr>
        <w:t>Timi</w:t>
      </w:r>
      <w:r w:rsidR="00780A52">
        <w:rPr>
          <w:sz w:val="18"/>
          <w:szCs w:val="18"/>
        </w:rPr>
        <w:t>ş</w:t>
      </w:r>
      <w:r>
        <w:rPr>
          <w:sz w:val="18"/>
          <w:szCs w:val="18"/>
        </w:rPr>
        <w:t>oara, Romania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A, Chebici S, Sinescu C, </w:t>
      </w:r>
      <w:r w:rsidR="00780A52" w:rsidRPr="00780A52">
        <w:rPr>
          <w:b/>
          <w:sz w:val="18"/>
          <w:szCs w:val="18"/>
        </w:rPr>
        <w:t>Prezentare oralӑ „</w:t>
      </w:r>
      <w:r w:rsidRPr="00780A52">
        <w:rPr>
          <w:b/>
          <w:sz w:val="18"/>
          <w:szCs w:val="18"/>
        </w:rPr>
        <w:t>Additive manufacturing in dentistry</w:t>
      </w:r>
      <w:r w:rsidR="00780A52" w:rsidRPr="00780A52">
        <w:rPr>
          <w:b/>
          <w:sz w:val="18"/>
          <w:szCs w:val="18"/>
        </w:rPr>
        <w:t>”</w:t>
      </w:r>
      <w:r>
        <w:rPr>
          <w:sz w:val="18"/>
          <w:szCs w:val="18"/>
        </w:rPr>
        <w:t>, 1st Workshop on Structural Integrity of Additively Manufactured Materials - SIAMM21</w:t>
      </w:r>
      <w:r w:rsidR="00780A52">
        <w:rPr>
          <w:sz w:val="18"/>
          <w:szCs w:val="18"/>
        </w:rPr>
        <w:t xml:space="preserve">, </w:t>
      </w:r>
      <w:r w:rsidR="00780A52" w:rsidRPr="00780A52">
        <w:rPr>
          <w:sz w:val="18"/>
          <w:szCs w:val="18"/>
        </w:rPr>
        <w:t xml:space="preserve">25-26 february 2021, </w:t>
      </w:r>
      <w:r w:rsidR="00780A52">
        <w:rPr>
          <w:sz w:val="18"/>
          <w:szCs w:val="18"/>
        </w:rPr>
        <w:t>Timişoara, Romania</w:t>
      </w:r>
    </w:p>
    <w:p w:rsidR="004863A6" w:rsidRPr="00EF4ECD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 , Sinescu C, Negrutiu ML, Cojocariu A, Zaharia C, Duma VF; </w:t>
      </w:r>
      <w:r w:rsidR="00780A52" w:rsidRPr="00780A52">
        <w:rPr>
          <w:b/>
          <w:sz w:val="18"/>
          <w:szCs w:val="18"/>
        </w:rPr>
        <w:t>Prezentare oralӑ „The Evaluation of dental adhesives reinforced with magnetic nanoparticles”</w:t>
      </w:r>
      <w:r w:rsidR="00780A52">
        <w:rPr>
          <w:sz w:val="18"/>
          <w:szCs w:val="18"/>
        </w:rPr>
        <w:t xml:space="preserve">, </w:t>
      </w:r>
      <w:r>
        <w:rPr>
          <w:sz w:val="18"/>
          <w:szCs w:val="18"/>
        </w:rPr>
        <w:t>1st International Conference ADVANCES IN 3OM: Opto-Mechatronics, Opto-Mechanics and Optical Metrology</w:t>
      </w:r>
      <w:r w:rsidR="00780A52">
        <w:rPr>
          <w:sz w:val="18"/>
          <w:szCs w:val="18"/>
        </w:rPr>
        <w:t xml:space="preserve">, </w:t>
      </w:r>
      <w:r>
        <w:rPr>
          <w:sz w:val="18"/>
          <w:szCs w:val="18"/>
        </w:rPr>
        <w:t>13-16 decembrie 2021</w:t>
      </w:r>
      <w:r w:rsidR="00780A52">
        <w:rPr>
          <w:sz w:val="18"/>
          <w:szCs w:val="18"/>
        </w:rPr>
        <w:t>,</w:t>
      </w:r>
      <w:r>
        <w:rPr>
          <w:sz w:val="18"/>
          <w:szCs w:val="18"/>
        </w:rPr>
        <w:t xml:space="preserve"> Timi</w:t>
      </w:r>
      <w:r w:rsidR="00780A52">
        <w:rPr>
          <w:sz w:val="18"/>
          <w:szCs w:val="18"/>
        </w:rPr>
        <w:t>ş</w:t>
      </w:r>
      <w:r>
        <w:rPr>
          <w:sz w:val="18"/>
          <w:szCs w:val="18"/>
        </w:rPr>
        <w:t xml:space="preserve">oara, Romania </w:t>
      </w:r>
    </w:p>
    <w:p w:rsidR="004863A6" w:rsidRPr="00CD7CD3" w:rsidRDefault="00EB7E55">
      <w:pPr>
        <w:widowControl/>
        <w:shd w:val="clear" w:color="auto" w:fill="FFFFFF"/>
        <w:spacing w:before="280" w:after="280"/>
        <w:rPr>
          <w:sz w:val="18"/>
          <w:szCs w:val="18"/>
        </w:rPr>
      </w:pPr>
      <w:r w:rsidRPr="00CD7CD3">
        <w:rPr>
          <w:b/>
          <w:sz w:val="18"/>
          <w:szCs w:val="18"/>
        </w:rPr>
        <w:t>Naționale :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CS,</w:t>
      </w:r>
      <w:r>
        <w:rPr>
          <w:sz w:val="18"/>
          <w:szCs w:val="18"/>
        </w:rPr>
        <w:t>Cojocariu AC, Antal A, Negruțiu ML, Sinescu C,</w:t>
      </w:r>
      <w:r w:rsidR="004D18A3">
        <w:rPr>
          <w:b/>
          <w:sz w:val="18"/>
          <w:szCs w:val="18"/>
        </w:rPr>
        <w:t xml:space="preserve"> P</w:t>
      </w:r>
      <w:r>
        <w:rPr>
          <w:b/>
          <w:sz w:val="18"/>
          <w:szCs w:val="18"/>
        </w:rPr>
        <w:t xml:space="preserve">oster "New trends in assessment for dental students", </w:t>
      </w:r>
      <w:r>
        <w:rPr>
          <w:sz w:val="18"/>
          <w:szCs w:val="18"/>
        </w:rPr>
        <w:t>Timi</w:t>
      </w:r>
      <w:r w:rsidR="004D18A3">
        <w:rPr>
          <w:sz w:val="18"/>
          <w:szCs w:val="18"/>
        </w:rPr>
        <w:t>ş</w:t>
      </w:r>
      <w:r>
        <w:rPr>
          <w:sz w:val="18"/>
          <w:szCs w:val="18"/>
        </w:rPr>
        <w:t>oara Medical Education Days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3-5 noiembrie 2016, Timișoara, România;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 Cojocariu AC, Ionel RC, Topală F, Romînu M, Negruțiu ML, Duma VF, Podoleanu AG, Sinescu C,</w:t>
      </w:r>
      <w:r>
        <w:rPr>
          <w:b/>
          <w:sz w:val="18"/>
          <w:szCs w:val="18"/>
        </w:rPr>
        <w:t xml:space="preserve"> </w:t>
      </w:r>
      <w:r w:rsid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 xml:space="preserve">"Comparison between Optical Coherence Tomography and Micro Computed Tomography employed for veneer interface </w:t>
      </w:r>
      <w:r>
        <w:rPr>
          <w:b/>
          <w:sz w:val="18"/>
          <w:szCs w:val="18"/>
        </w:rPr>
        <w:lastRenderedPageBreak/>
        <w:t>evaluation</w:t>
      </w:r>
      <w:r>
        <w:rPr>
          <w:sz w:val="18"/>
          <w:szCs w:val="18"/>
        </w:rPr>
        <w:t>", Congresul Internațional de Medicină Dentară pentru studenți și tineri medici, Dentim 2017, ediția a 11-a, 30 martie – 1 aprilie 2017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Timișoara, România;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Ben Hadj Meftah M, Cojocariu AC,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 xml:space="preserve">, </w:t>
      </w:r>
      <w:r>
        <w:rPr>
          <w:sz w:val="18"/>
          <w:szCs w:val="18"/>
        </w:rPr>
        <w:t>Hajaj T, Sinescu C</w:t>
      </w:r>
      <w:r>
        <w:rPr>
          <w:b/>
          <w:sz w:val="18"/>
          <w:szCs w:val="18"/>
        </w:rPr>
        <w:t xml:space="preserve">, </w:t>
      </w:r>
      <w:r w:rsid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 xml:space="preserve">"Methods for dental caries detection", </w:t>
      </w:r>
      <w:r>
        <w:rPr>
          <w:sz w:val="18"/>
          <w:szCs w:val="18"/>
        </w:rPr>
        <w:t>în cadrul Congresului Internațional de Medicină Dentară pentru studenți și tineri medici, Dentim 2017, ediția a 11-a, 30 martie – 1 aprilie 2017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Timișoara, România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</w:t>
      </w:r>
      <w:r>
        <w:rPr>
          <w:b/>
          <w:sz w:val="18"/>
          <w:szCs w:val="18"/>
          <w:u w:val="single"/>
        </w:rPr>
        <w:t>Neagu CS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Stan AT, Antal A, Ionel RC, Topală F, Romînu M, Negruțiu ML, Sinescu C, Duma VF, Podoleanu AG, </w:t>
      </w:r>
      <w:r w:rsidR="004D18A3"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"Marginal integrity analysis of class II cavities filled with conventional methods vs an ultrasound system",</w:t>
      </w:r>
      <w:r w:rsidR="004D18A3">
        <w:rPr>
          <w:sz w:val="18"/>
          <w:szCs w:val="18"/>
        </w:rPr>
        <w:t xml:space="preserve"> </w:t>
      </w:r>
      <w:r>
        <w:rPr>
          <w:sz w:val="18"/>
          <w:szCs w:val="18"/>
        </w:rPr>
        <w:t>Congresul Internațional de Medicină Dentară pentru studenți și tineri medici, Dentim 2017, ediția a 11-a, 30 martie – 1 aprilie 2017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Timișoara, România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4D18A3">
        <w:rPr>
          <w:sz w:val="18"/>
          <w:szCs w:val="18"/>
        </w:rPr>
        <w:t>ӑ</w:t>
      </w:r>
      <w:r>
        <w:rPr>
          <w:sz w:val="18"/>
          <w:szCs w:val="18"/>
        </w:rPr>
        <w:t xml:space="preserve">volan D,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>, Hajaj T, Negruțiu ML, Sinescu C,</w:t>
      </w:r>
      <w:r w:rsidRPr="004D18A3">
        <w:rPr>
          <w:b/>
          <w:sz w:val="18"/>
          <w:szCs w:val="18"/>
        </w:rPr>
        <w:t xml:space="preserve"> </w:t>
      </w:r>
      <w:r w:rsidR="004D18A3" w:rsidRPr="004D18A3">
        <w:rPr>
          <w:b/>
          <w:sz w:val="18"/>
          <w:szCs w:val="18"/>
        </w:rPr>
        <w:t>Prezentare oralӑ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"Brix 3000- an alternative non-traumatic way of treating dental cavities"</w:t>
      </w:r>
      <w:r w:rsidR="004D18A3">
        <w:rPr>
          <w:sz w:val="18"/>
          <w:szCs w:val="18"/>
        </w:rPr>
        <w:t xml:space="preserve">, </w:t>
      </w:r>
      <w:r>
        <w:rPr>
          <w:sz w:val="18"/>
          <w:szCs w:val="18"/>
        </w:rPr>
        <w:t>Congresul Internațional de Medicină Dentară pentru studenți și tineri medici, Dentim 201</w:t>
      </w:r>
      <w:r w:rsidR="004D18A3">
        <w:rPr>
          <w:sz w:val="18"/>
          <w:szCs w:val="18"/>
        </w:rPr>
        <w:t xml:space="preserve">7, ediția a 11-a, </w:t>
      </w:r>
      <w:r>
        <w:rPr>
          <w:sz w:val="18"/>
          <w:szCs w:val="18"/>
        </w:rPr>
        <w:t>30 martie – 1 aprilie 2017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Timișoara, România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AC, coordonatori științifici: Prof. Dr. Sinescu C, Prof. Dr. Negruțiu ML, </w:t>
      </w:r>
      <w:r w:rsidR="004D18A3"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"The use of dental adhesives loaded with magnetic nanoparticles for improving the bond between teeth and direct veneers"</w:t>
      </w:r>
      <w:r>
        <w:rPr>
          <w:sz w:val="18"/>
          <w:szCs w:val="18"/>
        </w:rPr>
        <w:t xml:space="preserve"> Conferinț</w:t>
      </w:r>
      <w:r w:rsidR="004D18A3">
        <w:rPr>
          <w:sz w:val="18"/>
          <w:szCs w:val="18"/>
        </w:rPr>
        <w:t>a</w:t>
      </w:r>
      <w:r>
        <w:rPr>
          <w:sz w:val="18"/>
          <w:szCs w:val="18"/>
        </w:rPr>
        <w:t xml:space="preserve"> științific</w:t>
      </w:r>
      <w:r w:rsidR="004D18A3">
        <w:rPr>
          <w:sz w:val="18"/>
          <w:szCs w:val="18"/>
        </w:rPr>
        <w:t>ӑ</w:t>
      </w:r>
      <w:r>
        <w:rPr>
          <w:sz w:val="18"/>
          <w:szCs w:val="18"/>
        </w:rPr>
        <w:t xml:space="preserve"> "Studenții și cercetarea" din cadrul Zilelor Universității de Medicină și Farmacie "Victor Babeș"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decembrie 2018, Timișoara, România;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Cojocariu AC, Zaharia C, coordonatori științifici: Prof. Dr. Sinescu C, Prof. Dr. Negruțiu ML, </w:t>
      </w:r>
      <w:r w:rsidR="004D18A3" w:rsidRPr="004D18A3">
        <w:rPr>
          <w:b/>
          <w:sz w:val="18"/>
          <w:szCs w:val="18"/>
        </w:rPr>
        <w:t xml:space="preserve">Prezentare oralӑ </w:t>
      </w:r>
      <w:r>
        <w:rPr>
          <w:b/>
          <w:sz w:val="18"/>
          <w:szCs w:val="18"/>
        </w:rPr>
        <w:t>"Adhesive loaded with magnetic nanoparticles used for reducing the thickness of the adhesive layer between teeth and direct veneers"</w:t>
      </w:r>
      <w:r w:rsidR="004D18A3">
        <w:rPr>
          <w:sz w:val="18"/>
          <w:szCs w:val="18"/>
        </w:rPr>
        <w:t xml:space="preserve"> </w:t>
      </w:r>
      <w:r>
        <w:rPr>
          <w:sz w:val="18"/>
          <w:szCs w:val="18"/>
        </w:rPr>
        <w:t>Congresul Internațional de Medicină Dentară pentru studenți și tineri medici Dentim 2019, ediția a 13-a, 10-13 aprilie 2019</w:t>
      </w:r>
      <w:r w:rsidR="004D18A3">
        <w:rPr>
          <w:sz w:val="18"/>
          <w:szCs w:val="18"/>
        </w:rPr>
        <w:t>,</w:t>
      </w:r>
      <w:r>
        <w:rPr>
          <w:sz w:val="18"/>
          <w:szCs w:val="18"/>
        </w:rPr>
        <w:t xml:space="preserve"> Timișoara, România;</w:t>
      </w:r>
    </w:p>
    <w:p w:rsidR="004863A6" w:rsidRDefault="00EB7E55">
      <w:pPr>
        <w:widowControl/>
        <w:shd w:val="clear" w:color="auto" w:fill="FFFFFF"/>
        <w:spacing w:before="280" w:after="28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Cojocariu AC, Sinescu C, Kabai L,  Negruțiu ML, Romînu M, Leretter M, Jivănescu A, Crăciunescu E, </w:t>
      </w:r>
      <w:r>
        <w:rPr>
          <w:b/>
          <w:sz w:val="18"/>
          <w:szCs w:val="18"/>
          <w:u w:val="single"/>
        </w:rPr>
        <w:t>Neagu CS</w:t>
      </w:r>
      <w:r>
        <w:rPr>
          <w:sz w:val="18"/>
          <w:szCs w:val="18"/>
        </w:rPr>
        <w:t xml:space="preserve">, </w:t>
      </w:r>
      <w:r w:rsidR="00A533EC">
        <w:rPr>
          <w:sz w:val="18"/>
          <w:szCs w:val="18"/>
        </w:rPr>
        <w:t>„</w:t>
      </w:r>
      <w:r w:rsidRPr="00A533EC">
        <w:rPr>
          <w:b/>
          <w:sz w:val="18"/>
          <w:szCs w:val="18"/>
        </w:rPr>
        <w:t>A D</w:t>
      </w:r>
      <w:r w:rsidR="00A533EC" w:rsidRPr="00A533EC">
        <w:rPr>
          <w:b/>
          <w:sz w:val="18"/>
          <w:szCs w:val="18"/>
        </w:rPr>
        <w:t>ental</w:t>
      </w:r>
      <w:r w:rsidRPr="00A533EC">
        <w:rPr>
          <w:b/>
          <w:sz w:val="18"/>
          <w:szCs w:val="18"/>
        </w:rPr>
        <w:t xml:space="preserve"> I</w:t>
      </w:r>
      <w:r w:rsidR="00A533EC" w:rsidRPr="00A533EC">
        <w:rPr>
          <w:b/>
          <w:sz w:val="18"/>
          <w:szCs w:val="18"/>
        </w:rPr>
        <w:t>mpression</w:t>
      </w:r>
      <w:r w:rsidRPr="00A533EC">
        <w:rPr>
          <w:b/>
          <w:sz w:val="18"/>
          <w:szCs w:val="18"/>
        </w:rPr>
        <w:t xml:space="preserve"> G</w:t>
      </w:r>
      <w:r w:rsidR="00A533EC" w:rsidRPr="00A533EC">
        <w:rPr>
          <w:b/>
          <w:sz w:val="18"/>
          <w:szCs w:val="18"/>
        </w:rPr>
        <w:t>uide</w:t>
      </w:r>
      <w:r w:rsidRPr="00A533EC">
        <w:rPr>
          <w:b/>
          <w:sz w:val="18"/>
          <w:szCs w:val="18"/>
        </w:rPr>
        <w:t xml:space="preserve"> </w:t>
      </w:r>
      <w:r w:rsidR="00A533EC" w:rsidRPr="00A533EC">
        <w:rPr>
          <w:b/>
          <w:sz w:val="18"/>
          <w:szCs w:val="18"/>
        </w:rPr>
        <w:t>and</w:t>
      </w:r>
      <w:r w:rsidRPr="00A533EC">
        <w:rPr>
          <w:b/>
          <w:sz w:val="18"/>
          <w:szCs w:val="18"/>
        </w:rPr>
        <w:t xml:space="preserve"> </w:t>
      </w:r>
      <w:r w:rsidR="00A533EC" w:rsidRPr="00A533EC">
        <w:rPr>
          <w:b/>
          <w:sz w:val="18"/>
          <w:szCs w:val="18"/>
        </w:rPr>
        <w:t>the</w:t>
      </w:r>
      <w:r w:rsidRPr="00A533EC">
        <w:rPr>
          <w:b/>
          <w:sz w:val="18"/>
          <w:szCs w:val="18"/>
        </w:rPr>
        <w:t xml:space="preserve"> M</w:t>
      </w:r>
      <w:r w:rsidR="00A533EC" w:rsidRPr="00A533EC">
        <w:rPr>
          <w:b/>
          <w:sz w:val="18"/>
          <w:szCs w:val="18"/>
        </w:rPr>
        <w:t>ethod</w:t>
      </w:r>
      <w:r w:rsidRPr="00A533EC">
        <w:rPr>
          <w:b/>
          <w:sz w:val="18"/>
          <w:szCs w:val="18"/>
        </w:rPr>
        <w:t xml:space="preserve"> </w:t>
      </w:r>
      <w:r w:rsidR="00A533EC" w:rsidRPr="00A533EC">
        <w:rPr>
          <w:b/>
          <w:sz w:val="18"/>
          <w:szCs w:val="18"/>
        </w:rPr>
        <w:t>of</w:t>
      </w:r>
      <w:r w:rsidRPr="00A533EC">
        <w:rPr>
          <w:b/>
          <w:sz w:val="18"/>
          <w:szCs w:val="18"/>
        </w:rPr>
        <w:t xml:space="preserve"> </w:t>
      </w:r>
      <w:r w:rsidR="00A533EC" w:rsidRPr="00A533EC">
        <w:rPr>
          <w:b/>
          <w:sz w:val="18"/>
          <w:szCs w:val="18"/>
        </w:rPr>
        <w:t>Use”</w:t>
      </w:r>
      <w:r>
        <w:rPr>
          <w:sz w:val="18"/>
          <w:szCs w:val="18"/>
        </w:rPr>
        <w:t xml:space="preserve">, </w:t>
      </w:r>
      <w:r w:rsidR="00A533EC">
        <w:rPr>
          <w:sz w:val="18"/>
          <w:szCs w:val="18"/>
        </w:rPr>
        <w:t>Expoziţia internaţionalӑ de brevete INVENTCOR, 17-19 decembrie 2020 (</w:t>
      </w:r>
      <w:r>
        <w:rPr>
          <w:sz w:val="18"/>
          <w:szCs w:val="18"/>
        </w:rPr>
        <w:t>INVENTCOR</w:t>
      </w:r>
      <w:r w:rsidR="00A533EC">
        <w:rPr>
          <w:sz w:val="18"/>
          <w:szCs w:val="18"/>
        </w:rPr>
        <w:t>)</w:t>
      </w:r>
      <w:r>
        <w:rPr>
          <w:sz w:val="18"/>
          <w:szCs w:val="18"/>
        </w:rPr>
        <w:t>, 17-19</w:t>
      </w:r>
      <w:r w:rsidR="00A533EC">
        <w:rPr>
          <w:sz w:val="18"/>
          <w:szCs w:val="18"/>
        </w:rPr>
        <w:t xml:space="preserve"> decembrie </w:t>
      </w:r>
      <w:r>
        <w:rPr>
          <w:sz w:val="18"/>
          <w:szCs w:val="18"/>
        </w:rPr>
        <w:t>2020</w:t>
      </w:r>
      <w:r w:rsidR="00A533EC">
        <w:rPr>
          <w:sz w:val="18"/>
          <w:szCs w:val="18"/>
        </w:rPr>
        <w:t>, Deva, Romania</w:t>
      </w:r>
    </w:p>
    <w:p w:rsidR="004863A6" w:rsidRDefault="004863A6">
      <w:pPr>
        <w:widowControl/>
        <w:shd w:val="clear" w:color="auto" w:fill="FFFFFF"/>
        <w:spacing w:before="280" w:after="280"/>
        <w:rPr>
          <w:sz w:val="18"/>
          <w:szCs w:val="18"/>
        </w:rPr>
      </w:pPr>
    </w:p>
    <w:sectPr w:rsidR="004863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C49" w:rsidRDefault="00DC7C49">
      <w:r>
        <w:separator/>
      </w:r>
    </w:p>
  </w:endnote>
  <w:endnote w:type="continuationSeparator" w:id="0">
    <w:p w:rsidR="00DC7C49" w:rsidRDefault="00DC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EB7E5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rPr>
        <w:color w:val="1593CB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2002-2018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PAGE</w:instrText>
    </w:r>
    <w:r>
      <w:rPr>
        <w:color w:val="1593CB"/>
        <w:sz w:val="14"/>
        <w:szCs w:val="14"/>
      </w:rPr>
      <w:fldChar w:fldCharType="separate"/>
    </w:r>
    <w:r w:rsidR="009970CE">
      <w:rPr>
        <w:noProof/>
        <w:color w:val="1593CB"/>
        <w:sz w:val="14"/>
        <w:szCs w:val="14"/>
      </w:rPr>
      <w:t>2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NUMPAGES</w:instrText>
    </w:r>
    <w:r>
      <w:rPr>
        <w:color w:val="1593CB"/>
        <w:sz w:val="14"/>
        <w:szCs w:val="14"/>
      </w:rPr>
      <w:fldChar w:fldCharType="separate"/>
    </w:r>
    <w:r w:rsidR="009970CE">
      <w:rPr>
        <w:noProof/>
        <w:color w:val="1593CB"/>
        <w:sz w:val="14"/>
        <w:szCs w:val="14"/>
      </w:rPr>
      <w:t>5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EB7E55">
    <w:pPr>
      <w:pBdr>
        <w:top w:val="nil"/>
        <w:left w:val="nil"/>
        <w:bottom w:val="nil"/>
        <w:right w:val="nil"/>
        <w:between w:val="nil"/>
      </w:pBdr>
      <w:tabs>
        <w:tab w:val="right" w:pos="2835"/>
        <w:tab w:val="left" w:pos="10205"/>
        <w:tab w:val="left" w:pos="2835"/>
        <w:tab w:val="right" w:pos="10375"/>
      </w:tabs>
      <w:rPr>
        <w:color w:val="1593CB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color w:val="1593CB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color w:val="1593CB"/>
        <w:sz w:val="14"/>
        <w:szCs w:val="14"/>
      </w:rPr>
      <w:tab/>
      <w:t xml:space="preserve">Pagina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PAGE</w:instrText>
    </w:r>
    <w:r>
      <w:rPr>
        <w:color w:val="1593CB"/>
        <w:sz w:val="14"/>
        <w:szCs w:val="14"/>
      </w:rPr>
      <w:fldChar w:fldCharType="separate"/>
    </w:r>
    <w:r w:rsidR="009970CE">
      <w:rPr>
        <w:noProof/>
        <w:color w:val="1593CB"/>
        <w:sz w:val="14"/>
        <w:szCs w:val="14"/>
      </w:rPr>
      <w:t>1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1593CB"/>
        <w:sz w:val="14"/>
        <w:szCs w:val="14"/>
      </w:rPr>
      <w:t xml:space="preserve"> / </w:t>
    </w:r>
    <w:r>
      <w:rPr>
        <w:color w:val="1593CB"/>
        <w:sz w:val="14"/>
        <w:szCs w:val="14"/>
      </w:rPr>
      <w:fldChar w:fldCharType="begin"/>
    </w:r>
    <w:r>
      <w:rPr>
        <w:color w:val="1593CB"/>
        <w:sz w:val="14"/>
        <w:szCs w:val="14"/>
      </w:rPr>
      <w:instrText>NUMPAGES</w:instrText>
    </w:r>
    <w:r>
      <w:rPr>
        <w:color w:val="1593CB"/>
        <w:sz w:val="14"/>
        <w:szCs w:val="14"/>
      </w:rPr>
      <w:fldChar w:fldCharType="separate"/>
    </w:r>
    <w:r w:rsidR="009970CE">
      <w:rPr>
        <w:noProof/>
        <w:color w:val="1593CB"/>
        <w:sz w:val="14"/>
        <w:szCs w:val="14"/>
      </w:rPr>
      <w:t>5</w:t>
    </w:r>
    <w:r>
      <w:rPr>
        <w:color w:val="1593CB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4863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C49" w:rsidRDefault="00DC7C49">
      <w:r>
        <w:separator/>
      </w:r>
    </w:p>
  </w:footnote>
  <w:footnote w:type="continuationSeparator" w:id="0">
    <w:p w:rsidR="00DC7C49" w:rsidRDefault="00DC7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EB7E55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/>
      <w:jc w:val="right"/>
      <w:rPr>
        <w:color w:val="1593CB"/>
        <w:sz w:val="20"/>
        <w:szCs w:val="20"/>
      </w:rPr>
    </w:pPr>
    <w:r>
      <w:rPr>
        <w:color w:val="1593CB"/>
        <w:sz w:val="20"/>
        <w:szCs w:val="20"/>
      </w:rPr>
      <w:t xml:space="preserve"> </w:t>
    </w:r>
    <w:r>
      <w:rPr>
        <w:color w:val="1593CB"/>
        <w:sz w:val="20"/>
        <w:szCs w:val="20"/>
      </w:rPr>
      <w:tab/>
      <w:t xml:space="preserve"> Curriculum Vitae </w:t>
    </w:r>
    <w:r>
      <w:rPr>
        <w:color w:val="1593CB"/>
        <w:sz w:val="20"/>
        <w:szCs w:val="20"/>
      </w:rPr>
      <w:tab/>
      <w:t xml:space="preserve"> Scrieţi numele şi prenumele </w:t>
    </w:r>
    <w:r>
      <w:rPr>
        <w:noProof/>
        <w:lang w:val="en-US"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8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EB7E55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50"/>
      </w:tabs>
      <w:spacing w:before="153"/>
      <w:jc w:val="right"/>
      <w:rPr>
        <w:color w:val="1593CB"/>
        <w:sz w:val="20"/>
        <w:szCs w:val="20"/>
      </w:rPr>
    </w:pPr>
    <w:r>
      <w:rPr>
        <w:color w:val="1593CB"/>
        <w:sz w:val="20"/>
        <w:szCs w:val="20"/>
      </w:rPr>
      <w:t xml:space="preserve"> </w:t>
    </w:r>
    <w:r>
      <w:rPr>
        <w:color w:val="1593CB"/>
        <w:sz w:val="20"/>
        <w:szCs w:val="20"/>
      </w:rPr>
      <w:tab/>
      <w:t xml:space="preserve"> </w:t>
    </w:r>
    <w:r>
      <w:rPr>
        <w:color w:val="1593CB"/>
        <w:sz w:val="20"/>
        <w:szCs w:val="20"/>
      </w:rPr>
      <w:t xml:space="preserve">Curriculum Vitae </w:t>
    </w:r>
    <w:r>
      <w:rPr>
        <w:color w:val="1593CB"/>
        <w:sz w:val="20"/>
        <w:szCs w:val="20"/>
      </w:rPr>
      <w:tab/>
      <w:t xml:space="preserve">  </w:t>
    </w: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 distT="0" distB="0" distL="0" distR="0"/>
          <wp:docPr id="5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3140" cy="287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3A6" w:rsidRDefault="004863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04339"/>
    <w:multiLevelType w:val="multilevel"/>
    <w:tmpl w:val="39387086"/>
    <w:lvl w:ilvl="0">
      <w:start w:val="1"/>
      <w:numFmt w:val="bullet"/>
      <w:lvlText w:val="▪"/>
      <w:lvlJc w:val="left"/>
      <w:pPr>
        <w:ind w:left="113" w:hanging="113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▫"/>
      <w:lvlJc w:val="left"/>
      <w:pPr>
        <w:ind w:left="227" w:hanging="114"/>
      </w:pPr>
      <w:rPr>
        <w:rFonts w:ascii="Quattrocento Sans" w:eastAsia="Quattrocento Sans" w:hAnsi="Quattrocento Sans" w:cs="Quattrocento Sans"/>
        <w:vertAlign w:val="baseline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113" w:firstLine="1474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A4D5B40"/>
    <w:multiLevelType w:val="multilevel"/>
    <w:tmpl w:val="EBB65752"/>
    <w:lvl w:ilvl="0">
      <w:start w:val="2016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3A6"/>
    <w:rsid w:val="00010FC0"/>
    <w:rsid w:val="0010607A"/>
    <w:rsid w:val="001143E5"/>
    <w:rsid w:val="001B1DFA"/>
    <w:rsid w:val="00293D4D"/>
    <w:rsid w:val="003A4CEB"/>
    <w:rsid w:val="003C5526"/>
    <w:rsid w:val="0042006F"/>
    <w:rsid w:val="004863A6"/>
    <w:rsid w:val="004D18A3"/>
    <w:rsid w:val="00780A52"/>
    <w:rsid w:val="00817D78"/>
    <w:rsid w:val="009970CE"/>
    <w:rsid w:val="00A533EC"/>
    <w:rsid w:val="00B57ED5"/>
    <w:rsid w:val="00BD7C0C"/>
    <w:rsid w:val="00CD7CD3"/>
    <w:rsid w:val="00DC7C49"/>
    <w:rsid w:val="00DD46C6"/>
    <w:rsid w:val="00E4229C"/>
    <w:rsid w:val="00EB44D5"/>
    <w:rsid w:val="00EB7E55"/>
    <w:rsid w:val="00E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B6484-142C-481E-A13E-4FF982D8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3F3A38"/>
        <w:sz w:val="16"/>
        <w:szCs w:val="16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12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120"/>
      <w:ind w:left="1080" w:hanging="3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CD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ss.cedefop.europa.eu/ro/resources/european-language-levels-ce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digital-competenc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14</cp:revision>
  <dcterms:created xsi:type="dcterms:W3CDTF">2022-02-07T11:37:00Z</dcterms:created>
  <dcterms:modified xsi:type="dcterms:W3CDTF">2022-02-18T09:22:00Z</dcterms:modified>
</cp:coreProperties>
</file>