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70" w:rsidRPr="00BF4370" w:rsidRDefault="00BF4370" w:rsidP="00BF4370">
      <w:pPr>
        <w:jc w:val="center"/>
        <w:rPr>
          <w:b/>
        </w:rPr>
      </w:pPr>
    </w:p>
    <w:p w:rsidR="005F7A33" w:rsidRDefault="00BF4370" w:rsidP="00BF4370">
      <w:pPr>
        <w:jc w:val="center"/>
        <w:rPr>
          <w:b/>
          <w:sz w:val="56"/>
        </w:rPr>
      </w:pPr>
      <w:proofErr w:type="spellStart"/>
      <w:r w:rsidRPr="00BF4370">
        <w:rPr>
          <w:b/>
          <w:sz w:val="56"/>
        </w:rPr>
        <w:t>Lista</w:t>
      </w:r>
      <w:proofErr w:type="spellEnd"/>
      <w:r w:rsidRPr="00BF4370">
        <w:rPr>
          <w:b/>
          <w:sz w:val="56"/>
        </w:rPr>
        <w:t xml:space="preserve"> </w:t>
      </w:r>
      <w:proofErr w:type="spellStart"/>
      <w:r w:rsidRPr="00BF4370">
        <w:rPr>
          <w:b/>
          <w:sz w:val="56"/>
        </w:rPr>
        <w:t>publicatiilor</w:t>
      </w:r>
      <w:proofErr w:type="spellEnd"/>
    </w:p>
    <w:p w:rsidR="00BF4370" w:rsidRPr="00BF4370" w:rsidRDefault="00BF4370" w:rsidP="00BF4370">
      <w:pPr>
        <w:jc w:val="center"/>
        <w:rPr>
          <w:b/>
          <w:sz w:val="3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9705"/>
      </w:tblGrid>
      <w:tr w:rsidR="005F7A33" w:rsidRPr="005F7A33" w:rsidTr="005F7A33">
        <w:tc>
          <w:tcPr>
            <w:tcW w:w="10188" w:type="dxa"/>
            <w:gridSpan w:val="2"/>
            <w:shd w:val="clear" w:color="auto" w:fill="FFFF99"/>
          </w:tcPr>
          <w:p w:rsidR="005F7A33" w:rsidRPr="005F7A33" w:rsidRDefault="005F7A33" w:rsidP="005F7A3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Articole i</w:t>
            </w: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 xml:space="preserve">n reviste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 xml:space="preserve">ISI </w:t>
            </w:r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D</w:t>
            </w:r>
            <w:proofErr w:type="spellStart"/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ana</w:t>
            </w:r>
            <w:proofErr w:type="spellEnd"/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Stoian, M</w:t>
            </w:r>
            <w:proofErr w:type="spellStart"/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arioara</w:t>
            </w:r>
            <w:proofErr w:type="spellEnd"/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Cornianu,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</w:t>
            </w:r>
            <w:proofErr w:type="spellStart"/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</w:rPr>
              <w:t>madeus</w:t>
            </w:r>
            <w:proofErr w:type="spellEnd"/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 xml:space="preserve">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F</w:t>
            </w:r>
            <w:proofErr w:type="spellStart"/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ulger</w:t>
            </w:r>
            <w:proofErr w:type="spellEnd"/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Lazãr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Nodular thyroid cancer. Diagnostic value of real time elastography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Chirurgia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2012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107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, 1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: 39-46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FI = 0,777</w:t>
            </w:r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Codrut ivan,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C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ristian Nica,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</w:rPr>
              <w:t>A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 xml:space="preserve">madeus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</w:rPr>
              <w:t>D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O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lga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B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elic,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P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etru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M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atusz,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S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orin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O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lariu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Using Human Intrahepatic Bile Duct System Corrosion Casts in Training of the Medical Students and Residents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MATERIALE PLASTICE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2015,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52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1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, 48-50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FI = 0.903 </w:t>
            </w:r>
            <w:hyperlink r:id="rId4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2FAF4"/>
                </w:rPr>
                <w:t>doi.org/10.37358/Mat.Plast.1964</w:t>
              </w:r>
            </w:hyperlink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Marius Preda , Adelina Cheveresan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Iulia Pinzaru,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Ioana Zinuca Pavel, Vicentiu Vlaia, Eugen Sisu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Chemical Composition and Biological Activity of Birch Bark Extracts on Human and Murine Healthy/Melanoma Cell Lines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2018, vol. 69, 7, 1907-1910, FI = 1,605 </w:t>
            </w:r>
            <w:hyperlink r:id="rId5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  <w:r w:rsidRPr="005F7A3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Iulia Cristina Bagiu, Delia Ioana Horhat, Simona Popescu, Florin George Horhat, Ciprian Pilut, Razvan Nitu, George Dahma,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Elena Amaricai, Ovidiu Boruga, Radu Vasile Bagiu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One Year Retrospective Study of Ocular Infection in a Tertiary Care Hospital from Timisoara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 2018, vol. 69, 10, 2910-2912, FI = 1,605 </w:t>
            </w:r>
            <w:hyperlink r:id="rId6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Adrian Silviu Crisan Sorin Florescu , Monica Susan, Amadeus Dobrescu, Imola Miklos, Alin Grelus, Razvansusan, Delia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Berceanu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Vaduva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Specific Approaches in Hormone-refractory Prostate Cancer Chemical treatment, surgery and patient evaluation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2018, vol. 69, 11, 3057-3059  , FI = 1,605 </w:t>
            </w:r>
            <w:hyperlink r:id="rId7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Alexandru Isaic, Adelina Cheveresan,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Cristi Tarta, Laurian Stoica, Ciprian Duta, Lazar Fulger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A Pilot Study for Testing the Efficiency of a Novel Integrated On-line Platform Using Tumoral Biomarkers Evaluation in Colorectal Cancer</w:t>
            </w:r>
          </w:p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2018, vol. 69, 11, 3557-3560  , FI = 1,605 </w:t>
            </w:r>
            <w:hyperlink r:id="rId8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Flore Varcus, Ion Paun, Ciprian Duta,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Mirela Frandes, Cristi Tarta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Laparoscopic repair of perforated peptic ulcer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Minerva chirurgica, 2018, vol. 73, 2, 188-193  , FI = 0,736</w:t>
            </w:r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Laurian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Stoica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Mihai Mituletu, Alexandru Isaic, Ciprian Duta, Gabriel Verdes, Cristi Tarta, Alina Heghes, Lazar Fulger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Metabolic and Weight Changes After Bariatric Surgery in a Rat Model of Induced Type 2 Diabetes Mellitus and Obesity</w:t>
            </w:r>
          </w:p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 2018, vol. 69, 4, 1030-1033,  FI = 1,605 </w:t>
            </w:r>
            <w:hyperlink r:id="rId9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  <w:r w:rsidRPr="005F7A33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Emanuel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, Simona Norina Basa, Mărioara Cornianu, Daniela Cornelia Lazăr, Silviu Cristian Suciu, Anca Tudor, Octavia Cornelia Viţa, Dorin Cristi Tarţă-Marcu, Robert Alexandru Barna, Octavian Fulger Lazăr,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Prognostic significance of E-cadherin expression in hepatocellular carcinoma: correlations with clinical features , Rom J Morphol Embryol 2019, 60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4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1243–1251 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FI = 1,500</w:t>
            </w:r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BF4370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10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Mihaela Diana Popa, Adelina Cheveresan,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Iulia Cristina Bagiu, Delia Ioana Horhat, Razvan Susan, Simona Popescu, Ciprian Pilut, Razvan Nitu, George Dahma, Brigitha Vlaicu, Radu Vasile Bagiu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Time Trends Regarding the Association Between Drug and Tabacco Consumption Among Students from the West Part of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lastRenderedPageBreak/>
              <w:t>Romania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2019, vol. 70, 1, 118-120  , FI = 1,605 </w:t>
            </w:r>
            <w:hyperlink r:id="rId10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BF4370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lastRenderedPageBreak/>
              <w:t>11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Dan Alin Brebu, Cristian Vlad, Cristi Tarta, Amadeus Dobrescu, Iuliana Mihail, Cristian Nica, Lazar Fulger, Ciprian Duta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The Correlation between Specific Biochemical Parameters, Radiological data and clinical sings for practicing laparoscopic cholecystectomy in the first 24 hours for acute cholecystitis. How safe it is?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2019, vol. 70, 5, 1746-1749  , FI = 1,605 </w:t>
            </w:r>
            <w:hyperlink r:id="rId11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</w:p>
        </w:tc>
      </w:tr>
      <w:tr w:rsidR="005F7A33" w:rsidRPr="005F7A33" w:rsidTr="00BF4370">
        <w:tc>
          <w:tcPr>
            <w:tcW w:w="483" w:type="dxa"/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9705" w:type="dxa"/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Sonia Tanasescu, Razvan Nitu, GEORGE Dahma, Ciprian Pilut, Mircea Diaconu, Octavian Neagoe, DELIA Muntean, IOANA DELIA Horhat, ADRIANA Dragomir, Diana Lighezan,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Chemical composition and antimicrobial activity of essential oil of Romanian Origanum vulgare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2019, vol. 70, 5, 1746-1749  , FI = 1,605 </w:t>
            </w:r>
            <w:hyperlink r:id="rId12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Adrian Goldis, Ramona Goldis, Marioara Cornianu, Norina Basa, Daniela Lazar,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Fulger Lazar;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Immunohistochemical Study of cell proliferation in hepatocellular carcinoma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2019, vol. 70, 6, 2198-2203  , FI = 1,605 </w:t>
            </w:r>
            <w:hyperlink r:id="rId13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</w:t>
              </w:r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e</w:t>
              </w:r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v.Chim.1949</w:t>
              </w:r>
            </w:hyperlink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Flavius Olaru, Dana Stoian, Delia Berceanu Vaduva, Alina Corpade, Florin Birsasteanu, Dan Navolan, Constantin Tudor Luca, Octavian Cretu, Adrian Carabineanu, SORIN M</w:t>
            </w:r>
            <w:proofErr w:type="spellStart"/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otoi</w:t>
            </w:r>
            <w:proofErr w:type="spellEnd"/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, Florin Borcan, Marius Craina,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 w:val="ro-RO"/>
              </w:rPr>
              <w:t>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;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Studies on a Levonorgestrel-Releasing Trade Plastic Device and on a Similar Polyurethane Foam Used as a Levonorgestrel Carrier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MATERIALE PLASTICE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2019,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5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6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, 2, 543-547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FI = 1,393 </w:t>
            </w:r>
            <w:hyperlink r:id="rId14" w:history="1">
              <w:r w:rsidRPr="005F7A33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2FAF4"/>
                </w:rPr>
                <w:t>doi.org/10.37358/Mat.Plast.1964</w:t>
              </w:r>
            </w:hyperlink>
          </w:p>
        </w:tc>
      </w:tr>
      <w:tr w:rsidR="00BF4370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BF4370" w:rsidRPr="005F7A33" w:rsidRDefault="00BF4370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15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BF4370" w:rsidRPr="005F7A33" w:rsidRDefault="00BF4370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Catalin Copaescu, Bogdan Zmeu, Ciprian Duta, Ovidiu H. Bedreag, Laurian Stoica, Cristi Tarta, Alexandru F. Rogobete, Fulger Lazar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Ghrelin Levels and Hunger Sensation after Laparoscopic Sleeve Gastrectomy Compared with Laparoscopic Greater Curvature Plication in Obese Patients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Clinical Laboratory, 2020,  66, 5, ,  FI = 0,955 </w:t>
            </w:r>
          </w:p>
          <w:p w:rsidR="00BF4370" w:rsidRPr="005F7A33" w:rsidRDefault="00BF4370" w:rsidP="00AD483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GB"/>
              </w:rPr>
            </w:pPr>
            <w:proofErr w:type="spellStart"/>
            <w:r w:rsidRPr="005F7A33">
              <w:rPr>
                <w:rFonts w:ascii="Arial" w:hAnsi="Arial" w:cs="Arial"/>
                <w:color w:val="5B616B"/>
                <w:sz w:val="24"/>
                <w:szCs w:val="24"/>
                <w:shd w:val="clear" w:color="auto" w:fill="FFFFFF"/>
              </w:rPr>
              <w:t>doi</w:t>
            </w:r>
            <w:proofErr w:type="spellEnd"/>
            <w:r w:rsidRPr="005F7A33">
              <w:rPr>
                <w:rFonts w:ascii="Arial" w:hAnsi="Arial" w:cs="Arial"/>
                <w:color w:val="5B616B"/>
                <w:sz w:val="24"/>
                <w:szCs w:val="24"/>
                <w:shd w:val="clear" w:color="auto" w:fill="FFFFFF"/>
              </w:rPr>
              <w:t>: 10.7754/Clin.Lab.2019.191012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Florin Gorun, Sorin Motoi, Daniel Malita, Dan Bogdan Navolan, Dragos Nemescu, Rares Tudor Olariu, Marius Craina, Tatjana Vilibic</w:t>
            </w:r>
            <w:r w:rsidRPr="005F7A33">
              <w:rPr>
                <w:rFonts w:ascii="Cambria Math" w:hAnsi="Cambria Math" w:cs="Arial"/>
                <w:color w:val="181818"/>
                <w:sz w:val="24"/>
                <w:szCs w:val="24"/>
                <w:lang/>
              </w:rPr>
              <w:t>‐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Cavlek, Ioana Ciohat, Daniel Boda,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;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Cytomegalovirus seroprevalence in pregnant women in the western region of Romania: A large</w:t>
            </w:r>
            <w:r w:rsidRPr="005F7A33">
              <w:rPr>
                <w:rFonts w:ascii="Cambria Math" w:hAnsi="Cambria Math" w:cs="Arial"/>
                <w:color w:val="181818"/>
                <w:sz w:val="24"/>
                <w:szCs w:val="24"/>
                <w:lang/>
              </w:rPr>
              <w:t>‐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scale study; Experimental And Therapeutic Medicine 2020, FI = 1,785</w:t>
            </w:r>
          </w:p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DOI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10.3892/etm.2020.894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</w:rPr>
              <w:t>5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BF4370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17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SORIN MOTOI,DAN NAVOLAN*,DANIEL MALITA,IOANA CIOHAT,DRAGOS NEMESCU,CARMEN MANCIUC,FLORIN GORUN,TATJANA VILIBIC-CAVLEK,DANIEL BODA,MARIUS CRAINA, </w:t>
            </w:r>
            <w:r w:rsidRPr="005F7A33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; A decreasing trend in toxoplasma gondii seroprevalence among pregnant women in Romania </w:t>
            </w:r>
            <w:r w:rsidRPr="005F7A33">
              <w:rPr>
                <w:rFonts w:ascii="Cambria Math" w:hAnsi="Cambria Math" w:cs="Arial"/>
                <w:color w:val="181818"/>
                <w:sz w:val="24"/>
                <w:szCs w:val="24"/>
                <w:lang/>
              </w:rPr>
              <w:t>‐</w:t>
            </w:r>
            <w:r w:rsidRPr="005F7A33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 results of a large scale study; EXPERIMENTAL AND THERAPEUTIC MEDICINE , 2020, 20: 3536-3540; DOI: 10.3892/etm.2020.9012; FI=2,447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BF4370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18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Ciprian Nicolae Pilut, Aniko Manea, Ioana Macasoi,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Dobrescu*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Doina Georgescu*,Roxana Buzatu,Alin Faur,Stefania Dinu, Doina Chioran,Iulia Pinzaru,Monica Hancianu, Cristina Dehelean, Daniel Malita; Comparative Evaluation of the Potential Antitumor of Helleborus purpurascens in Skin and Breast Cancer; Plants 2022, 11, 194, 1-15, doi.org/10.3390/plants11020194,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FI=3,935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BF4370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19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Alina Dolghi, Roxana Buzatu,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Dobrescu*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, Flavius Olaru*, Grigore Alexandru Popescu, Iasmina Marcovici, Iulia Pinzaru, Dan Navolan, Octavian Marius Cretu, Iuliana Popescu, Cristina Adriana Dehelean; Phytochemical Analysis and In Vitro Cytotoxic Activity against Colorectal Adenocarcinoma Cells of Hippophae rhamnodies L., Cymbopogon citratus (D.C.) Stapf, and Ocimum basilicum L. Essential Oils; Plants 2021, 10, 2752, 1-17, doi.org/10.3390/plants10122752;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FI=3,935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BF4370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lastRenderedPageBreak/>
              <w:t>20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Sebastian Simu,Iasmina Marcovici,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 xml:space="preserve">Amadeus Dobrescu*, 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Daniel Malita*,Cristina Dehelean,Dorina Coricovac,Flavius Olaru,George Andrei Draghici,Dan Navolan; Insights into the Behavior of Triple-Negative MDA-MB-231 Breast Carcinoma Cells Following the Treatment with 17; Molecules 2021, 26, 2776, 1-15; doi.org/10.3390/molecules26092776;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FI=4,412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</w:pP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LAURIAN STOICA,RAMONA GADEA,DAN NAVOLAN,FULGER LAZAR,CIPRIAN DUTA,DANA STOIAN,CRISTI TARTA,FLAVIUS OLARU,ALEXANDRU ISAIC,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; Plasma ghrelin, adiponectin and leptin levels in obese rats with type 2 diabetes mellitus after sleeve gastrectomy and gastric plication; EXPERIMENTAL AND THERAPEUTIC MEDICINE 2021, 21: 264, 1-6; DOI: 10.3892/etm.2021.9695;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FI=2,447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Radu i. Neamtu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, Marius Craina, George Dahma</w:t>
            </w:r>
            <w:r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, Alin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Popescu, Adelina Geanina Erimescu, Ioana Citu,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, Florin Horhat, Dan Vulcanescu, Florin Gorun, elena bernad, andrei motoc, ioan cosmin citu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; Heavy metal ion concentration in the amniotic fluid of preterm and term pregnancies from two cities with different industrial output; EXPERIMENTAL AND THERAPEUTIC MEDICINE 2022, 23: 111,1-12; DOI: 10.3892/etm.2021.11034;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FI=2,447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Tudorel Mihoc, Cristi Tarta *, Ciprian Duta , Raluca Lupusoru, Greta Dancu</w:t>
            </w:r>
            <w:r w:rsidR="00BF4370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, Monica Anca Oprescu-Macovei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Fulger Lazar; Monitoring Approach of Fatality Risk Factors for Patients with Severe Acute Pancreatitis Admitted to the Intensive Care Unit. A Retrospective, Monocentric Study; Diagnostics 2021, 11, 2013, 1-10; doi.org/10.3390/diagnostics11112013;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FI=3,706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Sorin Dema , Fulger Lazar, Robert Barna,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Alis L. C.  Dema *,Oana Popa, Ioana Ionita, Sorina Maria Taban; Sclerosing Extramedullary Hematopoietic Tumor (SEHT) Mimicking a Malignant Bile Duct Tumor-Case Report and Literature Review; Medicina 2021, 57, 824, 1-8, doi.org/10.3390/medicina57080824;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FI=2,430</w:t>
            </w:r>
          </w:p>
        </w:tc>
      </w:tr>
      <w:tr w:rsidR="005F7A33" w:rsidRPr="005F7A33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5F7A33" w:rsidRDefault="005F7A33" w:rsidP="00AD483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  <w:r w:rsid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5</w:t>
            </w:r>
          </w:p>
        </w:tc>
        <w:tc>
          <w:tcPr>
            <w:tcW w:w="9705" w:type="dxa"/>
            <w:tcBorders>
              <w:bottom w:val="single" w:sz="4" w:space="0" w:color="auto"/>
            </w:tcBorders>
            <w:vAlign w:val="center"/>
          </w:tcPr>
          <w:p w:rsidR="005F7A33" w:rsidRPr="005F7A33" w:rsidRDefault="005F7A33" w:rsidP="00AD4835">
            <w:pPr>
              <w:spacing w:after="0" w:line="240" w:lineRule="auto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Lavinia Vlaia, Georgeta Coneac, Ana Maria Mut , Ioana Olariu, Vicen ̧tiu Vlaia*, Dan Florin Anghel, Monica Elisabeta Maxim,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5F7A3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Mircea Hîrj ́, Dumitru Lupuleasa; Topical Biocompatible Fluconazole-Loaded Microemulsions Based on Essential Oils and Sucrose Esters: Formulation Design Based on Pseudo-Ternary Phase Diagrams and Physicochemical Characterization; Processes 2021, 9, 144, 2-21; doi.org/10.3390/pr9010144; </w:t>
            </w:r>
            <w:r w:rsidRPr="005F7A33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FI=2,847</w:t>
            </w:r>
          </w:p>
        </w:tc>
      </w:tr>
    </w:tbl>
    <w:p w:rsidR="005F7A33" w:rsidRDefault="005F7A33"/>
    <w:p w:rsidR="0081593E" w:rsidRDefault="0081593E"/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3"/>
        <w:gridCol w:w="9795"/>
      </w:tblGrid>
      <w:tr w:rsidR="005F7A33" w:rsidRPr="00BF4370" w:rsidTr="00BF4370">
        <w:tc>
          <w:tcPr>
            <w:tcW w:w="10278" w:type="dxa"/>
            <w:gridSpan w:val="2"/>
            <w:shd w:val="clear" w:color="auto" w:fill="FFFF99"/>
          </w:tcPr>
          <w:p w:rsidR="005F7A33" w:rsidRPr="00BF4370" w:rsidRDefault="005F7A33" w:rsidP="005F7A3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Articole i</w:t>
            </w: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n reviste cotate CNCSIS cat.B sau B+(BDI)</w:t>
            </w:r>
          </w:p>
        </w:tc>
      </w:tr>
      <w:tr w:rsidR="005F7A33" w:rsidRPr="00BF4370" w:rsidTr="00BF4370">
        <w:tc>
          <w:tcPr>
            <w:tcW w:w="483" w:type="dxa"/>
          </w:tcPr>
          <w:p w:rsidR="005F7A33" w:rsidRPr="00BF4370" w:rsidRDefault="00BF4370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9795" w:type="dxa"/>
          </w:tcPr>
          <w:p w:rsidR="005F7A33" w:rsidRPr="00BF4370" w:rsidRDefault="005F7A33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Endometriosis of the abdominal wall after cesarean section; Flore Varcus, </w:t>
            </w: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, Fulger Lazar, Ciprian Duta, Andrei Hapaianu, Dan Goldis, Cristi Tarta; Jurnal Medical Aradean, 2016, vol.19, nr.3, pag. 8-11</w:t>
            </w:r>
          </w:p>
        </w:tc>
      </w:tr>
      <w:tr w:rsidR="005F7A33" w:rsidRPr="00BF4370" w:rsidTr="00BF4370">
        <w:tc>
          <w:tcPr>
            <w:tcW w:w="483" w:type="dxa"/>
          </w:tcPr>
          <w:p w:rsidR="005F7A33" w:rsidRPr="00BF4370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2</w:t>
            </w:r>
          </w:p>
        </w:tc>
        <w:tc>
          <w:tcPr>
            <w:tcW w:w="9795" w:type="dxa"/>
          </w:tcPr>
          <w:p w:rsidR="005F7A33" w:rsidRPr="00BF4370" w:rsidRDefault="005F7A33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Laparoscopic surgery for deep infiltrating endometriosis (DIE) – clinical management and outcome in a multidisciplinary center; Voicu Simedrea, Mădălin-Marius Margan , Răzvan Petrică, </w:t>
            </w: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, Iris Cioroianu , Gabriel Radu, Roxana Nicolescu; Gineco.eu, 2016, vol. 12, no.45, pag.118-125; DOI: 10.18643/gieu.2016.118</w:t>
            </w:r>
          </w:p>
        </w:tc>
      </w:tr>
      <w:tr w:rsidR="005F7A33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BF4370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3</w:t>
            </w:r>
          </w:p>
        </w:tc>
        <w:tc>
          <w:tcPr>
            <w:tcW w:w="9795" w:type="dxa"/>
            <w:tcBorders>
              <w:bottom w:val="single" w:sz="4" w:space="0" w:color="auto"/>
            </w:tcBorders>
          </w:tcPr>
          <w:p w:rsidR="005F7A33" w:rsidRPr="00BF4370" w:rsidRDefault="005F7A33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Immunohistochemical markers useful in differentiating thyroid nodules. Stan, V.; Cornianu, M.; Dema, A.; Golu, I.; Taban, S.; Lazar, E.; Popescu, R.; </w:t>
            </w:r>
            <w:r w:rsidRPr="0081593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Dobrescu, A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.; Annals of the Romanian Society for Cell Biology . 2012, Vol. 17 Issue 2, pag.43-52  </w:t>
            </w:r>
          </w:p>
        </w:tc>
      </w:tr>
      <w:tr w:rsidR="005F7A33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BF4370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4</w:t>
            </w:r>
          </w:p>
        </w:tc>
        <w:tc>
          <w:tcPr>
            <w:tcW w:w="9795" w:type="dxa"/>
            <w:tcBorders>
              <w:bottom w:val="single" w:sz="4" w:space="0" w:color="auto"/>
            </w:tcBorders>
          </w:tcPr>
          <w:p w:rsidR="005F7A33" w:rsidRPr="00BF4370" w:rsidRDefault="005F7A33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Presurgical Stratification of Thyroid Nodules - Is it really Needed? Current Guidelines versus Real Life</w:t>
            </w:r>
          </w:p>
          <w:p w:rsidR="005F7A33" w:rsidRPr="00BF4370" w:rsidRDefault="005F7A33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Andreea Borlea, </w:t>
            </w:r>
            <w:r w:rsidRPr="0081593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, Alis Dema, Mãrioara Cornianu, Fulger Octavian Lazãr, Dan Brebu; Chirurgia (2021) 116: 66-74; doi.org/10.21614/chirurgia.116.1.66</w:t>
            </w:r>
          </w:p>
        </w:tc>
      </w:tr>
      <w:tr w:rsidR="005F7A33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5F7A33" w:rsidRPr="00BF4370" w:rsidRDefault="005F7A33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lastRenderedPageBreak/>
              <w:t>5</w:t>
            </w:r>
          </w:p>
        </w:tc>
        <w:tc>
          <w:tcPr>
            <w:tcW w:w="9795" w:type="dxa"/>
            <w:tcBorders>
              <w:bottom w:val="single" w:sz="4" w:space="0" w:color="auto"/>
            </w:tcBorders>
          </w:tcPr>
          <w:p w:rsidR="005F7A33" w:rsidRPr="00BF4370" w:rsidRDefault="005F7A33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Metabolic and Hormonal Changes after Sleeve Gastrectomy and Mini Gastric Bypass in a Rat Model of Induced Type 2 Diabetes Mellitus and Obesity; Laurian Stoica, </w:t>
            </w:r>
            <w:r w:rsidRPr="0081593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Amadeus Dobrescu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, Alexandru Isaic, Gabriel Verdes, Cristi Tarta</w:t>
            </w:r>
            <w:r w:rsidR="0081593E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, Fulger Laz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ar; Chirurgia (2019) 114: 732-738; doi.org/10.21614/chirurgia.114.6.732 </w:t>
            </w:r>
          </w:p>
        </w:tc>
      </w:tr>
      <w:tr w:rsidR="00BF4370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BF4370" w:rsidRPr="00BF4370" w:rsidRDefault="00BF4370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6</w:t>
            </w:r>
          </w:p>
        </w:tc>
        <w:tc>
          <w:tcPr>
            <w:tcW w:w="9795" w:type="dxa"/>
            <w:tcBorders>
              <w:bottom w:val="single" w:sz="4" w:space="0" w:color="auto"/>
            </w:tcBorders>
          </w:tcPr>
          <w:p w:rsidR="00BF4370" w:rsidRPr="00BF4370" w:rsidRDefault="00BF4370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Laparoscopic trans-gastric removal of the intra-luminal migrated laparoscopic adjustable gastric band – technical note; </w:t>
            </w:r>
            <w:r w:rsidRPr="0081593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Dobrescu A.,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Duta C., Tarta C., Lazar F.; Medicine in evolution 2014; Volume XX, Nr.2, ISSN2065-376X</w:t>
            </w:r>
          </w:p>
        </w:tc>
      </w:tr>
      <w:tr w:rsidR="00BF4370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BF4370" w:rsidRPr="00BF4370" w:rsidRDefault="00BF4370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7</w:t>
            </w:r>
          </w:p>
        </w:tc>
        <w:tc>
          <w:tcPr>
            <w:tcW w:w="9795" w:type="dxa"/>
            <w:tcBorders>
              <w:bottom w:val="single" w:sz="4" w:space="0" w:color="auto"/>
            </w:tcBorders>
          </w:tcPr>
          <w:p w:rsidR="00BF4370" w:rsidRPr="00BF4370" w:rsidRDefault="00BF4370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Bariatric Surgery in Obese Patients with Incisional Hernia – A New Method to Reduce the Hernia Recurrence Rates; </w:t>
            </w:r>
            <w:r w:rsidRPr="0081593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Dobrescu A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.,  Duță C, Tarța C, Lazăr F; Fiziologia, 2014, Vol.24, no.1(81), pag.36-39, ISSN 1223-2076</w:t>
            </w:r>
          </w:p>
        </w:tc>
      </w:tr>
      <w:tr w:rsidR="00BF4370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BF4370" w:rsidRPr="00BF4370" w:rsidRDefault="00BF4370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8</w:t>
            </w:r>
          </w:p>
        </w:tc>
        <w:tc>
          <w:tcPr>
            <w:tcW w:w="9795" w:type="dxa"/>
            <w:tcBorders>
              <w:bottom w:val="single" w:sz="4" w:space="0" w:color="auto"/>
            </w:tcBorders>
          </w:tcPr>
          <w:p w:rsidR="00BF4370" w:rsidRPr="00BF4370" w:rsidRDefault="00BF4370" w:rsidP="00AD4835">
            <w:pPr>
              <w:pStyle w:val="ListParagraph"/>
              <w:spacing w:after="0" w:line="240" w:lineRule="auto"/>
              <w:ind w:left="0"/>
              <w:jc w:val="both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Prospective study of laparoscopic great curvature plication - effects on weight loss and hunger hormone levels; </w:t>
            </w:r>
            <w:r w:rsidRPr="0081593E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Dobrescu A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, Verdeș G, Tarța C, Brebu D, Stoica L, Lazăr C, Duță C; Fiziologia, 2014, Vol.24, no.2 (82), pag.23-26, ISSN 1223-2076</w:t>
            </w:r>
          </w:p>
        </w:tc>
      </w:tr>
      <w:tr w:rsidR="00BF4370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BF4370" w:rsidRPr="00BF4370" w:rsidRDefault="00BF4370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9</w:t>
            </w:r>
          </w:p>
        </w:tc>
        <w:tc>
          <w:tcPr>
            <w:tcW w:w="9795" w:type="dxa"/>
            <w:tcBorders>
              <w:bottom w:val="single" w:sz="4" w:space="0" w:color="auto"/>
            </w:tcBorders>
            <w:vAlign w:val="center"/>
          </w:tcPr>
          <w:p w:rsidR="00BF4370" w:rsidRPr="00BF4370" w:rsidRDefault="00BF4370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/>
              </w:rPr>
              <w:t>Amadeus Dobrescu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Cristi Tarta, Marioara Cornianu, Codruta Lazureanu, Ioana Golu, Sonia Tanasescu, Mihaela Iacob, Dan Brebu, Alexandru Isaic, Robert Barna, Fulger Lazar;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Thyroid Transcription Factor – 1 (TTF-1) Immunoexpression in Thyroid Carcinoma with Follicular Origin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Revista de Chimie, 2020, vol. 71, 3, 185-191, FI = 1,605 </w:t>
            </w:r>
            <w:hyperlink r:id="rId15" w:history="1">
              <w:r w:rsidRPr="00BF4370">
                <w:rPr>
                  <w:rStyle w:val="Hyperlink"/>
                  <w:rFonts w:ascii="Arial" w:hAnsi="Arial" w:cs="Arial"/>
                  <w:color w:val="D47D04"/>
                  <w:sz w:val="24"/>
                  <w:szCs w:val="24"/>
                  <w:shd w:val="clear" w:color="auto" w:fill="F0F8FC"/>
                </w:rPr>
                <w:t>doi.org/10.37358/Rev.Chim.1949</w:t>
              </w:r>
            </w:hyperlink>
          </w:p>
        </w:tc>
      </w:tr>
      <w:tr w:rsidR="00BF4370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BF4370" w:rsidRPr="00BF4370" w:rsidRDefault="00BF4370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0</w:t>
            </w:r>
          </w:p>
        </w:tc>
        <w:tc>
          <w:tcPr>
            <w:tcW w:w="9795" w:type="dxa"/>
            <w:tcBorders>
              <w:bottom w:val="single" w:sz="4" w:space="0" w:color="auto"/>
            </w:tcBorders>
            <w:vAlign w:val="center"/>
          </w:tcPr>
          <w:p w:rsidR="00BF4370" w:rsidRPr="00BF4370" w:rsidRDefault="00BF4370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Norina Basa, Daniela Lazar, Remus Cornea, Sorina Taban,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Melania Ardelean, Alexandra Faur, Anca Tudor, Robert Barna,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Adrian Goldis, </w:t>
            </w:r>
            <w:r w:rsidRPr="00BF4370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Ramona Goldis,</w:t>
            </w:r>
          </w:p>
          <w:p w:rsidR="00BF4370" w:rsidRPr="00BF4370" w:rsidRDefault="00BF4370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  <w:lang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Marioara Cornianu;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Expression of β-Catenin in Hepatocellular Carcinoma</w:t>
            </w:r>
          </w:p>
          <w:p w:rsidR="00BF4370" w:rsidRPr="00BF4370" w:rsidRDefault="00BF4370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Revista de Chimie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2020, vol. 71, 3, 116-125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FI = 1,755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</w:p>
        </w:tc>
      </w:tr>
      <w:tr w:rsidR="00BF4370" w:rsidRPr="00BF4370" w:rsidTr="00BF4370">
        <w:tc>
          <w:tcPr>
            <w:tcW w:w="483" w:type="dxa"/>
            <w:tcBorders>
              <w:bottom w:val="single" w:sz="4" w:space="0" w:color="auto"/>
            </w:tcBorders>
          </w:tcPr>
          <w:p w:rsidR="00BF4370" w:rsidRPr="00BF4370" w:rsidRDefault="00BF4370" w:rsidP="00BF4370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</w:pP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  <w:r w:rsidRPr="00BF4370">
              <w:rPr>
                <w:rFonts w:ascii="Arial" w:hAnsi="Arial" w:cs="Arial"/>
                <w:b/>
                <w:color w:val="181818"/>
                <w:sz w:val="24"/>
                <w:szCs w:val="24"/>
                <w:lang w:val="ro-RO"/>
              </w:rPr>
              <w:t>1</w:t>
            </w:r>
          </w:p>
        </w:tc>
        <w:tc>
          <w:tcPr>
            <w:tcW w:w="9795" w:type="dxa"/>
            <w:tcBorders>
              <w:bottom w:val="single" w:sz="4" w:space="0" w:color="auto"/>
            </w:tcBorders>
            <w:vAlign w:val="center"/>
          </w:tcPr>
          <w:p w:rsidR="00BF4370" w:rsidRPr="00BF4370" w:rsidRDefault="00BF4370" w:rsidP="00AD4835">
            <w:pPr>
              <w:spacing w:after="0" w:line="240" w:lineRule="auto"/>
              <w:rPr>
                <w:rFonts w:ascii="Arial" w:hAnsi="Arial" w:cs="Arial"/>
                <w:color w:val="181818"/>
                <w:sz w:val="24"/>
                <w:szCs w:val="24"/>
              </w:rPr>
            </w:pP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 xml:space="preserve">Sorin Motoi, </w:t>
            </w:r>
            <w:r w:rsidRPr="00BF4370">
              <w:rPr>
                <w:rFonts w:ascii="Arial" w:hAnsi="Arial" w:cs="Arial"/>
                <w:b/>
                <w:bCs/>
                <w:color w:val="181818"/>
                <w:sz w:val="24"/>
                <w:szCs w:val="24"/>
                <w:lang/>
              </w:rPr>
              <w:t>Amadeus Dobrescu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, Simona Carabineanu, Alexandru Blidisel, Dana Stoian, Adrian Carabineanu, Marioara Boia, Marius Craina, Radu Vladareanu, Simona Vladareanu, Peter Terness, Dan Navolan;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IgG anti-(Fab’)2 Antibodies in Early Pregnancy Sera of Women with Anti-thyroid Antibodies and Normal Outcome or Spontaneous Abortions;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Revista de Chimie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2020, vol. 71, 3, 608-613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, 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  <w:lang/>
              </w:rPr>
              <w:t>FI = 1,755</w:t>
            </w:r>
            <w:r w:rsidRPr="00BF4370">
              <w:rPr>
                <w:rFonts w:ascii="Arial" w:hAnsi="Arial" w:cs="Arial"/>
                <w:color w:val="181818"/>
                <w:sz w:val="24"/>
                <w:szCs w:val="24"/>
              </w:rPr>
              <w:t xml:space="preserve"> </w:t>
            </w:r>
          </w:p>
        </w:tc>
      </w:tr>
    </w:tbl>
    <w:p w:rsidR="005F7A33" w:rsidRDefault="005F7A33"/>
    <w:p w:rsidR="005F7A33" w:rsidRDefault="005F7A33" w:rsidP="00BF4370">
      <w:pPr>
        <w:ind w:left="90"/>
      </w:pPr>
    </w:p>
    <w:sectPr w:rsidR="005F7A33" w:rsidSect="00BF4370">
      <w:pgSz w:w="12240" w:h="15840"/>
      <w:pgMar w:top="720" w:right="1440" w:bottom="81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5F7A33"/>
    <w:rsid w:val="000B417B"/>
    <w:rsid w:val="005F7A33"/>
    <w:rsid w:val="0081593E"/>
    <w:rsid w:val="00BF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A3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7A33"/>
    <w:pPr>
      <w:ind w:left="720"/>
      <w:contextualSpacing/>
    </w:pPr>
  </w:style>
  <w:style w:type="character" w:styleId="Hyperlink">
    <w:name w:val="Hyperlink"/>
    <w:uiPriority w:val="99"/>
    <w:unhideWhenUsed/>
    <w:rsid w:val="005F7A3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7358/Rev.Chim.1949" TargetMode="External"/><Relationship Id="rId13" Type="http://schemas.openxmlformats.org/officeDocument/2006/relationships/hyperlink" Target="https://doi.org/10.37358/Rev.Chim.194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37358/Rev.Chim.1949" TargetMode="External"/><Relationship Id="rId12" Type="http://schemas.openxmlformats.org/officeDocument/2006/relationships/hyperlink" Target="https://doi.org/10.37358/Rev.Chim.1949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i.org/10.37358/Rev.Chim.1949" TargetMode="External"/><Relationship Id="rId11" Type="http://schemas.openxmlformats.org/officeDocument/2006/relationships/hyperlink" Target="https://doi.org/10.37358/Rev.Chim.1949" TargetMode="External"/><Relationship Id="rId5" Type="http://schemas.openxmlformats.org/officeDocument/2006/relationships/hyperlink" Target="https://doi.org/10.37358/Rev.Chim.1949" TargetMode="External"/><Relationship Id="rId15" Type="http://schemas.openxmlformats.org/officeDocument/2006/relationships/hyperlink" Target="https://doi.org/10.37358/Rev.Chim.1949" TargetMode="External"/><Relationship Id="rId10" Type="http://schemas.openxmlformats.org/officeDocument/2006/relationships/hyperlink" Target="https://doi.org/10.37358/Rev.Chim.1949" TargetMode="External"/><Relationship Id="rId4" Type="http://schemas.openxmlformats.org/officeDocument/2006/relationships/hyperlink" Target="https://doi.org/10.37358/Mat.Plast.1964" TargetMode="External"/><Relationship Id="rId9" Type="http://schemas.openxmlformats.org/officeDocument/2006/relationships/hyperlink" Target="https://doi.org/10.37358/Rev.Chim.1949" TargetMode="External"/><Relationship Id="rId14" Type="http://schemas.openxmlformats.org/officeDocument/2006/relationships/hyperlink" Target="https://doi.org/10.37358/Mat.Plast.19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1932</Words>
  <Characters>11019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rezidenti</dc:creator>
  <cp:lastModifiedBy>rezidenti</cp:lastModifiedBy>
  <cp:revision>1</cp:revision>
  <dcterms:created xsi:type="dcterms:W3CDTF">2022-01-24T16:11:00Z</dcterms:created>
  <dcterms:modified xsi:type="dcterms:W3CDTF">2022-01-24T16:34:00Z</dcterms:modified>
</cp:coreProperties>
</file>