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CellMar>
          <w:left w:w="0" w:type="dxa"/>
          <w:right w:w="0" w:type="dxa"/>
        </w:tblCellMar>
        <w:tblLook w:val="0000" w:firstRow="0" w:lastRow="0" w:firstColumn="0" w:lastColumn="0" w:noHBand="0" w:noVBand="0"/>
      </w:tblPr>
      <w:tblGrid>
        <w:gridCol w:w="2834"/>
        <w:gridCol w:w="7541"/>
      </w:tblGrid>
      <w:tr w:rsidR="008C16D4">
        <w:trPr>
          <w:cantSplit/>
          <w:trHeight w:val="340"/>
        </w:trPr>
        <w:tc>
          <w:tcPr>
            <w:tcW w:w="2834" w:type="dxa"/>
            <w:shd w:val="clear" w:color="auto" w:fill="auto"/>
            <w:vAlign w:val="center"/>
          </w:tcPr>
          <w:p w:rsidR="008C16D4" w:rsidRDefault="008C16D4">
            <w:pPr>
              <w:pStyle w:val="ECVPersonalInfoHeading"/>
            </w:pPr>
            <w:r>
              <w:rPr>
                <w:caps w:val="0"/>
              </w:rPr>
              <w:t>INFORMAŢII PERSONALE</w:t>
            </w:r>
          </w:p>
        </w:tc>
        <w:tc>
          <w:tcPr>
            <w:tcW w:w="7541" w:type="dxa"/>
            <w:shd w:val="clear" w:color="auto" w:fill="auto"/>
            <w:vAlign w:val="center"/>
          </w:tcPr>
          <w:p w:rsidR="008C16D4" w:rsidRDefault="003D3A8F">
            <w:pPr>
              <w:pStyle w:val="ECVNameField"/>
            </w:pPr>
            <w:r>
              <w:t>Romanescu Mirabela</w:t>
            </w:r>
            <w:r w:rsidR="008C16D4">
              <w:t xml:space="preserve"> </w:t>
            </w:r>
          </w:p>
        </w:tc>
      </w:tr>
      <w:tr w:rsidR="008C16D4">
        <w:trPr>
          <w:cantSplit/>
          <w:trHeight w:hRule="exact" w:val="227"/>
        </w:trPr>
        <w:tc>
          <w:tcPr>
            <w:tcW w:w="10375" w:type="dxa"/>
            <w:gridSpan w:val="2"/>
            <w:shd w:val="clear" w:color="auto" w:fill="auto"/>
          </w:tcPr>
          <w:p w:rsidR="008C16D4" w:rsidRDefault="008C16D4">
            <w:pPr>
              <w:pStyle w:val="ECVComments"/>
            </w:pPr>
          </w:p>
        </w:tc>
      </w:tr>
      <w:tr w:rsidR="008C16D4">
        <w:trPr>
          <w:cantSplit/>
          <w:trHeight w:val="340"/>
        </w:trPr>
        <w:tc>
          <w:tcPr>
            <w:tcW w:w="2834" w:type="dxa"/>
            <w:vMerge w:val="restart"/>
            <w:shd w:val="clear" w:color="auto" w:fill="auto"/>
          </w:tcPr>
          <w:p w:rsidR="008C16D4" w:rsidRDefault="00E709A9" w:rsidP="00E709A9">
            <w:pPr>
              <w:pStyle w:val="ECVLeftHeading"/>
              <w:jc w:val="center"/>
            </w:pPr>
            <w:r>
              <w:t xml:space="preserve">          </w:t>
            </w:r>
            <w:r w:rsidR="008C16D4">
              <w:t xml:space="preserve"> </w:t>
            </w:r>
          </w:p>
        </w:tc>
        <w:tc>
          <w:tcPr>
            <w:tcW w:w="7541" w:type="dxa"/>
            <w:shd w:val="clear" w:color="auto" w:fill="auto"/>
          </w:tcPr>
          <w:p w:rsidR="008C16D4" w:rsidRDefault="008C16D4">
            <w:pPr>
              <w:pStyle w:val="ECVContactDetails0"/>
            </w:pPr>
            <w:bookmarkStart w:id="0" w:name="_GoBack"/>
            <w:bookmarkEnd w:id="0"/>
          </w:p>
        </w:tc>
      </w:tr>
      <w:tr w:rsidR="008C16D4">
        <w:trPr>
          <w:cantSplit/>
          <w:trHeight w:val="340"/>
        </w:trPr>
        <w:tc>
          <w:tcPr>
            <w:tcW w:w="2834" w:type="dxa"/>
            <w:vMerge/>
            <w:shd w:val="clear" w:color="auto" w:fill="auto"/>
          </w:tcPr>
          <w:p w:rsidR="008C16D4" w:rsidRDefault="008C16D4"/>
        </w:tc>
        <w:tc>
          <w:tcPr>
            <w:tcW w:w="7541" w:type="dxa"/>
            <w:shd w:val="clear" w:color="auto" w:fill="auto"/>
          </w:tcPr>
          <w:p w:rsidR="008C16D4" w:rsidRDefault="008C16D4">
            <w:pPr>
              <w:pStyle w:val="ECVContactDetails0"/>
              <w:tabs>
                <w:tab w:val="right" w:pos="8218"/>
              </w:tabs>
            </w:pPr>
          </w:p>
        </w:tc>
      </w:tr>
      <w:tr w:rsidR="008C16D4">
        <w:trPr>
          <w:cantSplit/>
          <w:trHeight w:val="340"/>
        </w:trPr>
        <w:tc>
          <w:tcPr>
            <w:tcW w:w="2834" w:type="dxa"/>
            <w:vMerge/>
            <w:shd w:val="clear" w:color="auto" w:fill="auto"/>
          </w:tcPr>
          <w:p w:rsidR="008C16D4" w:rsidRDefault="008C16D4"/>
        </w:tc>
        <w:tc>
          <w:tcPr>
            <w:tcW w:w="7541" w:type="dxa"/>
            <w:shd w:val="clear" w:color="auto" w:fill="auto"/>
            <w:vAlign w:val="center"/>
          </w:tcPr>
          <w:p w:rsidR="008C16D4" w:rsidRDefault="008C16D4">
            <w:pPr>
              <w:pStyle w:val="ECVContactDetails0"/>
            </w:pPr>
          </w:p>
        </w:tc>
      </w:tr>
      <w:tr w:rsidR="008C16D4">
        <w:trPr>
          <w:cantSplit/>
          <w:trHeight w:val="397"/>
        </w:trPr>
        <w:tc>
          <w:tcPr>
            <w:tcW w:w="2834" w:type="dxa"/>
            <w:vMerge/>
            <w:shd w:val="clear" w:color="auto" w:fill="auto"/>
          </w:tcPr>
          <w:p w:rsidR="008C16D4" w:rsidRDefault="008C16D4"/>
        </w:tc>
        <w:tc>
          <w:tcPr>
            <w:tcW w:w="7541" w:type="dxa"/>
            <w:shd w:val="clear" w:color="auto" w:fill="auto"/>
            <w:vAlign w:val="center"/>
          </w:tcPr>
          <w:p w:rsidR="008C16D4" w:rsidRDefault="008C16D4">
            <w:pPr>
              <w:pStyle w:val="ECVGenderRow"/>
            </w:pPr>
          </w:p>
        </w:tc>
      </w:tr>
    </w:tbl>
    <w:p w:rsidR="008C16D4" w:rsidRDefault="008C16D4">
      <w:pPr>
        <w:pStyle w:val="ECVText"/>
      </w:pPr>
    </w:p>
    <w:p w:rsidR="008C16D4" w:rsidRDefault="008C16D4">
      <w:pPr>
        <w:pStyle w:val="ECVText"/>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8C16D4">
        <w:trPr>
          <w:trHeight w:val="170"/>
        </w:trPr>
        <w:tc>
          <w:tcPr>
            <w:tcW w:w="2835" w:type="dxa"/>
            <w:shd w:val="clear" w:color="auto" w:fill="auto"/>
          </w:tcPr>
          <w:p w:rsidR="008C16D4" w:rsidRDefault="008C16D4">
            <w:pPr>
              <w:pStyle w:val="ECVLeftHeading"/>
            </w:pPr>
            <w:r>
              <w:rPr>
                <w:caps w:val="0"/>
              </w:rPr>
              <w:t>EXPERIENŢA PROFESIONALĂ</w:t>
            </w:r>
          </w:p>
        </w:tc>
        <w:tc>
          <w:tcPr>
            <w:tcW w:w="7540" w:type="dxa"/>
            <w:shd w:val="clear" w:color="auto" w:fill="auto"/>
            <w:vAlign w:val="bottom"/>
          </w:tcPr>
          <w:p w:rsidR="008C16D4" w:rsidRDefault="003D3A8F">
            <w:pPr>
              <w:pStyle w:val="ECVBlueBox"/>
            </w:pPr>
            <w:r>
              <w:rPr>
                <w:noProof/>
                <w:lang w:val="en-US" w:eastAsia="en-US" w:bidi="ar-SA"/>
              </w:rPr>
              <w:drawing>
                <wp:inline distT="0" distB="0" distL="0" distR="0">
                  <wp:extent cx="4791075" cy="90170"/>
                  <wp:effectExtent l="0" t="0" r="0" b="0"/>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90170"/>
                          </a:xfrm>
                          <a:prstGeom prst="rect">
                            <a:avLst/>
                          </a:prstGeom>
                          <a:solidFill>
                            <a:srgbClr val="FFFFFF"/>
                          </a:solidFill>
                          <a:ln>
                            <a:noFill/>
                          </a:ln>
                        </pic:spPr>
                      </pic:pic>
                    </a:graphicData>
                  </a:graphic>
                </wp:inline>
              </w:drawing>
            </w:r>
            <w:r w:rsidR="008C16D4">
              <w:t xml:space="preserve"> </w:t>
            </w:r>
          </w:p>
        </w:tc>
      </w:tr>
    </w:tbl>
    <w:p w:rsidR="008C16D4" w:rsidRDefault="008C16D4">
      <w:pPr>
        <w:pStyle w:val="ECVComments"/>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8C16D4">
        <w:trPr>
          <w:cantSplit/>
        </w:trPr>
        <w:tc>
          <w:tcPr>
            <w:tcW w:w="2834" w:type="dxa"/>
            <w:vMerge w:val="restart"/>
            <w:shd w:val="clear" w:color="auto" w:fill="auto"/>
          </w:tcPr>
          <w:p w:rsidR="008C16D4" w:rsidRDefault="003D3A8F">
            <w:pPr>
              <w:pStyle w:val="ECVDate"/>
            </w:pPr>
            <w:r>
              <w:t>08.01.2024 – Prezent</w:t>
            </w:r>
            <w:r w:rsidR="008C16D4">
              <w:t xml:space="preserve"> </w:t>
            </w:r>
          </w:p>
        </w:tc>
        <w:tc>
          <w:tcPr>
            <w:tcW w:w="7541" w:type="dxa"/>
            <w:shd w:val="clear" w:color="auto" w:fill="auto"/>
          </w:tcPr>
          <w:p w:rsidR="008C16D4" w:rsidRDefault="003D3A8F">
            <w:pPr>
              <w:pStyle w:val="ECVSubSectionHeading"/>
            </w:pPr>
            <w:r>
              <w:t>Farmacist rezident</w:t>
            </w:r>
          </w:p>
          <w:p w:rsidR="003D3A8F" w:rsidRDefault="003D3A8F">
            <w:pPr>
              <w:pStyle w:val="ECVSubSectionHeading"/>
            </w:pPr>
            <w:r>
              <w:rPr>
                <w:sz w:val="18"/>
                <w:szCs w:val="20"/>
              </w:rPr>
              <w:t>Specialitatea</w:t>
            </w:r>
            <w:r w:rsidRPr="00EE4D5A">
              <w:rPr>
                <w:sz w:val="18"/>
                <w:szCs w:val="20"/>
              </w:rPr>
              <w:t xml:space="preserve"> </w:t>
            </w:r>
            <w:r>
              <w:rPr>
                <w:sz w:val="18"/>
                <w:szCs w:val="20"/>
              </w:rPr>
              <w:t>Analize medico-farmaceutice de laborator</w:t>
            </w:r>
          </w:p>
        </w:tc>
      </w:tr>
      <w:tr w:rsidR="008C16D4">
        <w:trPr>
          <w:cantSplit/>
        </w:trPr>
        <w:tc>
          <w:tcPr>
            <w:tcW w:w="2834" w:type="dxa"/>
            <w:vMerge/>
            <w:shd w:val="clear" w:color="auto" w:fill="auto"/>
          </w:tcPr>
          <w:p w:rsidR="008C16D4" w:rsidRDefault="008C16D4"/>
        </w:tc>
        <w:tc>
          <w:tcPr>
            <w:tcW w:w="7541" w:type="dxa"/>
            <w:shd w:val="clear" w:color="auto" w:fill="auto"/>
          </w:tcPr>
          <w:p w:rsidR="003D3A8F" w:rsidRPr="003D3A8F" w:rsidRDefault="003D3A8F">
            <w:pPr>
              <w:pStyle w:val="ECVOrganisationDetails"/>
            </w:pPr>
            <w:r w:rsidRPr="003D3A8F">
              <w:t xml:space="preserve">Spitalul Clinic Judeţean de Urgenţă </w:t>
            </w:r>
            <w:r>
              <w:rPr>
                <w:lang w:val="en-US"/>
              </w:rPr>
              <w:t>“</w:t>
            </w:r>
            <w:r w:rsidRPr="003D3A8F">
              <w:t>Pius Brînzeu</w:t>
            </w:r>
            <w:r>
              <w:t xml:space="preserve">” </w:t>
            </w:r>
            <w:r w:rsidRPr="003D3A8F">
              <w:t>Timişoara</w:t>
            </w:r>
            <w:r>
              <w:t xml:space="preserve"> </w:t>
            </w:r>
            <w:r w:rsidR="00C23834">
              <w:t>(SCJUPBT)</w:t>
            </w:r>
          </w:p>
        </w:tc>
      </w:tr>
      <w:tr w:rsidR="008C16D4">
        <w:trPr>
          <w:cantSplit/>
        </w:trPr>
        <w:tc>
          <w:tcPr>
            <w:tcW w:w="2834" w:type="dxa"/>
            <w:vMerge/>
            <w:shd w:val="clear" w:color="auto" w:fill="auto"/>
          </w:tcPr>
          <w:p w:rsidR="008C16D4" w:rsidRDefault="008C16D4"/>
        </w:tc>
        <w:tc>
          <w:tcPr>
            <w:tcW w:w="7541" w:type="dxa"/>
            <w:shd w:val="clear" w:color="auto" w:fill="auto"/>
          </w:tcPr>
          <w:p w:rsidR="003D3A8F" w:rsidRDefault="003D3A8F" w:rsidP="003D3A8F">
            <w:pPr>
              <w:pStyle w:val="ECVSectionBullet"/>
              <w:rPr>
                <w:szCs w:val="18"/>
              </w:rPr>
            </w:pPr>
            <w:r w:rsidRPr="003D3A8F">
              <w:rPr>
                <w:szCs w:val="18"/>
              </w:rPr>
              <w:t>Bvd. Liviu Rebreanu 1</w:t>
            </w:r>
            <w:r>
              <w:rPr>
                <w:szCs w:val="18"/>
              </w:rPr>
              <w:t>5</w:t>
            </w:r>
            <w:r w:rsidRPr="003D3A8F">
              <w:rPr>
                <w:szCs w:val="18"/>
              </w:rPr>
              <w:t xml:space="preserve">6, </w:t>
            </w:r>
            <w:r>
              <w:rPr>
                <w:szCs w:val="18"/>
              </w:rPr>
              <w:t xml:space="preserve">300723, </w:t>
            </w:r>
            <w:r w:rsidRPr="003D3A8F">
              <w:rPr>
                <w:szCs w:val="18"/>
              </w:rPr>
              <w:t>Timișoara, România</w:t>
            </w:r>
          </w:p>
          <w:p w:rsidR="003D3A8F" w:rsidRDefault="003D3A8F" w:rsidP="003D3A8F">
            <w:pPr>
              <w:pStyle w:val="ECVSectionBullet"/>
            </w:pPr>
          </w:p>
        </w:tc>
      </w:tr>
      <w:tr w:rsidR="003D3A8F" w:rsidTr="00C719B7">
        <w:trPr>
          <w:cantSplit/>
        </w:trPr>
        <w:tc>
          <w:tcPr>
            <w:tcW w:w="2834" w:type="dxa"/>
            <w:vMerge w:val="restart"/>
            <w:shd w:val="clear" w:color="auto" w:fill="auto"/>
          </w:tcPr>
          <w:p w:rsidR="003D3A8F" w:rsidRDefault="003D3A8F" w:rsidP="00C719B7">
            <w:pPr>
              <w:pStyle w:val="ECVDate"/>
            </w:pPr>
            <w:r>
              <w:t>0</w:t>
            </w:r>
            <w:r w:rsidR="00975ADD">
              <w:t>2</w:t>
            </w:r>
            <w:r>
              <w:t>.0</w:t>
            </w:r>
            <w:r w:rsidR="00975ADD">
              <w:t>8</w:t>
            </w:r>
            <w:r>
              <w:t>.202</w:t>
            </w:r>
            <w:r w:rsidR="00975ADD">
              <w:t>2</w:t>
            </w:r>
            <w:r>
              <w:t xml:space="preserve"> – Prezent </w:t>
            </w:r>
          </w:p>
        </w:tc>
        <w:tc>
          <w:tcPr>
            <w:tcW w:w="7541" w:type="dxa"/>
            <w:shd w:val="clear" w:color="auto" w:fill="auto"/>
          </w:tcPr>
          <w:p w:rsidR="003D3A8F" w:rsidRDefault="003D3A8F" w:rsidP="00C719B7">
            <w:pPr>
              <w:pStyle w:val="ECVSubSectionHeading"/>
            </w:pPr>
            <w:r>
              <w:t>Asistent de cercetare</w:t>
            </w:r>
          </w:p>
          <w:p w:rsidR="003D3A8F" w:rsidRDefault="003D3A8F" w:rsidP="00C719B7">
            <w:pPr>
              <w:pStyle w:val="ECVSubSectionHeading"/>
            </w:pPr>
            <w:r>
              <w:rPr>
                <w:sz w:val="18"/>
                <w:szCs w:val="20"/>
              </w:rPr>
              <w:t>Disciplina Biochimie</w:t>
            </w:r>
          </w:p>
        </w:tc>
      </w:tr>
      <w:tr w:rsidR="003D3A8F" w:rsidTr="00C719B7">
        <w:trPr>
          <w:cantSplit/>
        </w:trPr>
        <w:tc>
          <w:tcPr>
            <w:tcW w:w="2834" w:type="dxa"/>
            <w:vMerge/>
            <w:shd w:val="clear" w:color="auto" w:fill="auto"/>
          </w:tcPr>
          <w:p w:rsidR="003D3A8F" w:rsidRDefault="003D3A8F" w:rsidP="00C719B7"/>
        </w:tc>
        <w:tc>
          <w:tcPr>
            <w:tcW w:w="7541" w:type="dxa"/>
            <w:shd w:val="clear" w:color="auto" w:fill="auto"/>
          </w:tcPr>
          <w:p w:rsidR="003D3A8F" w:rsidRPr="003D3A8F" w:rsidRDefault="003D3A8F" w:rsidP="00C719B7">
            <w:pPr>
              <w:pStyle w:val="ECVOrganisationDetails"/>
            </w:pPr>
            <w:r w:rsidRPr="003D3A8F">
              <w:t xml:space="preserve">Universitatea de Medicină și Farmacie </w:t>
            </w:r>
            <w:r>
              <w:rPr>
                <w:lang w:val="en-US"/>
              </w:rPr>
              <w:t>“</w:t>
            </w:r>
            <w:r w:rsidRPr="003D3A8F">
              <w:t>Victor Babeș</w:t>
            </w:r>
            <w:r>
              <w:t>” din Timișoara</w:t>
            </w:r>
            <w:r w:rsidR="00C23834">
              <w:t xml:space="preserve"> (UMFVBT)</w:t>
            </w:r>
            <w:r w:rsidR="004F49B4">
              <w:t>, Facultatea de Medicină</w:t>
            </w:r>
          </w:p>
        </w:tc>
      </w:tr>
      <w:tr w:rsidR="003D3A8F" w:rsidTr="00C719B7">
        <w:trPr>
          <w:cantSplit/>
        </w:trPr>
        <w:tc>
          <w:tcPr>
            <w:tcW w:w="2834" w:type="dxa"/>
            <w:vMerge/>
            <w:shd w:val="clear" w:color="auto" w:fill="auto"/>
          </w:tcPr>
          <w:p w:rsidR="003D3A8F" w:rsidRDefault="003D3A8F" w:rsidP="00C719B7"/>
        </w:tc>
        <w:tc>
          <w:tcPr>
            <w:tcW w:w="7541" w:type="dxa"/>
            <w:shd w:val="clear" w:color="auto" w:fill="auto"/>
          </w:tcPr>
          <w:p w:rsidR="003D3A8F" w:rsidRDefault="003D3A8F" w:rsidP="00C719B7">
            <w:pPr>
              <w:pStyle w:val="ECVSectionBullet"/>
              <w:rPr>
                <w:szCs w:val="18"/>
              </w:rPr>
            </w:pPr>
            <w:r>
              <w:rPr>
                <w:szCs w:val="18"/>
              </w:rPr>
              <w:t>Piața Eftimie Murgu 2</w:t>
            </w:r>
            <w:r w:rsidRPr="003D3A8F">
              <w:rPr>
                <w:szCs w:val="18"/>
              </w:rPr>
              <w:t xml:space="preserve">, </w:t>
            </w:r>
            <w:r>
              <w:rPr>
                <w:szCs w:val="18"/>
              </w:rPr>
              <w:t xml:space="preserve">300041, </w:t>
            </w:r>
            <w:r w:rsidRPr="003D3A8F">
              <w:rPr>
                <w:szCs w:val="18"/>
              </w:rPr>
              <w:t>Timișoara, România</w:t>
            </w:r>
          </w:p>
          <w:p w:rsidR="003D3A8F" w:rsidRDefault="003D3A8F" w:rsidP="00C719B7">
            <w:pPr>
              <w:pStyle w:val="ECVSectionBullet"/>
            </w:pPr>
          </w:p>
        </w:tc>
      </w:tr>
      <w:tr w:rsidR="003D3A8F" w:rsidTr="00C719B7">
        <w:trPr>
          <w:cantSplit/>
        </w:trPr>
        <w:tc>
          <w:tcPr>
            <w:tcW w:w="2834" w:type="dxa"/>
            <w:vMerge w:val="restart"/>
            <w:shd w:val="clear" w:color="auto" w:fill="auto"/>
          </w:tcPr>
          <w:p w:rsidR="003D3A8F" w:rsidRDefault="003D3A8F" w:rsidP="003D3A8F">
            <w:pPr>
              <w:pStyle w:val="ECVDate"/>
            </w:pPr>
            <w:r>
              <w:t>0</w:t>
            </w:r>
            <w:r w:rsidR="00E67660">
              <w:t>6</w:t>
            </w:r>
            <w:r>
              <w:t>.1</w:t>
            </w:r>
            <w:r w:rsidR="00E67660">
              <w:t>0</w:t>
            </w:r>
            <w:r>
              <w:t>.2021 – 07.01.202</w:t>
            </w:r>
            <w:r w:rsidR="00E67660">
              <w:t>2</w:t>
            </w:r>
            <w:r>
              <w:t xml:space="preserve"> </w:t>
            </w:r>
          </w:p>
        </w:tc>
        <w:tc>
          <w:tcPr>
            <w:tcW w:w="7541" w:type="dxa"/>
            <w:shd w:val="clear" w:color="auto" w:fill="auto"/>
          </w:tcPr>
          <w:p w:rsidR="003D3A8F" w:rsidRDefault="00C23834" w:rsidP="003D3A8F">
            <w:pPr>
              <w:pStyle w:val="ECVSubSectionHeading"/>
            </w:pPr>
            <w:r>
              <w:t>Cadru didactic asociat (asistent universitar – plata cu ora)</w:t>
            </w:r>
          </w:p>
          <w:p w:rsidR="003D3A8F" w:rsidRPr="00C23834" w:rsidRDefault="00C23834" w:rsidP="003D3A8F">
            <w:pPr>
              <w:pStyle w:val="ECVSubSectionHeading"/>
            </w:pPr>
            <w:r>
              <w:rPr>
                <w:sz w:val="18"/>
                <w:szCs w:val="20"/>
              </w:rPr>
              <w:t xml:space="preserve">Disciplina </w:t>
            </w:r>
            <w:r w:rsidRPr="00C23834">
              <w:rPr>
                <w:sz w:val="18"/>
                <w:szCs w:val="20"/>
              </w:rPr>
              <w:t>Farmacie clinică, comunicare în farmacie și asistenţă farmaceutică</w:t>
            </w:r>
          </w:p>
        </w:tc>
      </w:tr>
      <w:tr w:rsidR="003D3A8F" w:rsidTr="00C719B7">
        <w:trPr>
          <w:cantSplit/>
        </w:trPr>
        <w:tc>
          <w:tcPr>
            <w:tcW w:w="2834" w:type="dxa"/>
            <w:vMerge/>
            <w:shd w:val="clear" w:color="auto" w:fill="auto"/>
          </w:tcPr>
          <w:p w:rsidR="003D3A8F" w:rsidRDefault="003D3A8F" w:rsidP="003D3A8F"/>
        </w:tc>
        <w:tc>
          <w:tcPr>
            <w:tcW w:w="7541" w:type="dxa"/>
            <w:shd w:val="clear" w:color="auto" w:fill="auto"/>
          </w:tcPr>
          <w:p w:rsidR="003D3A8F" w:rsidRPr="003D3A8F" w:rsidRDefault="003D3A8F" w:rsidP="003D3A8F">
            <w:pPr>
              <w:pStyle w:val="ECVOrganisationDetails"/>
            </w:pPr>
            <w:r w:rsidRPr="003D3A8F">
              <w:t xml:space="preserve">Universitatea de Medicină și Farmacie </w:t>
            </w:r>
            <w:r>
              <w:rPr>
                <w:lang w:val="en-US"/>
              </w:rPr>
              <w:t>“</w:t>
            </w:r>
            <w:r w:rsidRPr="003D3A8F">
              <w:t>Victor Babeș</w:t>
            </w:r>
            <w:r>
              <w:t>” din Timișoara</w:t>
            </w:r>
            <w:r w:rsidR="00C23834">
              <w:t xml:space="preserve"> (UMFVBT)</w:t>
            </w:r>
            <w:r w:rsidR="004F49B4">
              <w:t>, Facultatea de Farmacie</w:t>
            </w:r>
          </w:p>
        </w:tc>
      </w:tr>
      <w:tr w:rsidR="003D3A8F" w:rsidTr="00C719B7">
        <w:trPr>
          <w:cantSplit/>
        </w:trPr>
        <w:tc>
          <w:tcPr>
            <w:tcW w:w="2834" w:type="dxa"/>
            <w:vMerge/>
            <w:shd w:val="clear" w:color="auto" w:fill="auto"/>
          </w:tcPr>
          <w:p w:rsidR="003D3A8F" w:rsidRDefault="003D3A8F" w:rsidP="003D3A8F"/>
        </w:tc>
        <w:tc>
          <w:tcPr>
            <w:tcW w:w="7541" w:type="dxa"/>
            <w:shd w:val="clear" w:color="auto" w:fill="auto"/>
          </w:tcPr>
          <w:p w:rsidR="003D3A8F" w:rsidRDefault="003D3A8F" w:rsidP="003D3A8F">
            <w:pPr>
              <w:pStyle w:val="ECVSectionBullet"/>
              <w:rPr>
                <w:szCs w:val="18"/>
              </w:rPr>
            </w:pPr>
            <w:r>
              <w:rPr>
                <w:szCs w:val="18"/>
              </w:rPr>
              <w:t>Piața Eftimie Murgu 2</w:t>
            </w:r>
            <w:r w:rsidRPr="003D3A8F">
              <w:rPr>
                <w:szCs w:val="18"/>
              </w:rPr>
              <w:t xml:space="preserve">, </w:t>
            </w:r>
            <w:r>
              <w:rPr>
                <w:szCs w:val="18"/>
              </w:rPr>
              <w:t xml:space="preserve">300041, </w:t>
            </w:r>
            <w:r w:rsidRPr="003D3A8F">
              <w:rPr>
                <w:szCs w:val="18"/>
              </w:rPr>
              <w:t>Timișoara, România</w:t>
            </w:r>
          </w:p>
          <w:p w:rsidR="003D3A8F" w:rsidRDefault="003D3A8F" w:rsidP="003D3A8F">
            <w:pPr>
              <w:pStyle w:val="ECVSectionBullet"/>
            </w:pPr>
          </w:p>
        </w:tc>
      </w:tr>
      <w:tr w:rsidR="00C23834" w:rsidTr="00C719B7">
        <w:trPr>
          <w:cantSplit/>
        </w:trPr>
        <w:tc>
          <w:tcPr>
            <w:tcW w:w="2834" w:type="dxa"/>
            <w:vMerge w:val="restart"/>
            <w:shd w:val="clear" w:color="auto" w:fill="auto"/>
          </w:tcPr>
          <w:p w:rsidR="00C23834" w:rsidRDefault="00E67660" w:rsidP="00C23834">
            <w:pPr>
              <w:pStyle w:val="ECVDate"/>
            </w:pPr>
            <w:r>
              <w:t>25</w:t>
            </w:r>
            <w:r w:rsidR="00C23834">
              <w:t>.0</w:t>
            </w:r>
            <w:r>
              <w:t>3</w:t>
            </w:r>
            <w:r w:rsidR="00C23834">
              <w:t>.2021 – 0</w:t>
            </w:r>
            <w:r>
              <w:t>2</w:t>
            </w:r>
            <w:r w:rsidR="00C23834">
              <w:t>.0</w:t>
            </w:r>
            <w:r>
              <w:t>3</w:t>
            </w:r>
            <w:r w:rsidR="00C23834">
              <w:t>.202</w:t>
            </w:r>
            <w:r>
              <w:t>2</w:t>
            </w:r>
          </w:p>
        </w:tc>
        <w:tc>
          <w:tcPr>
            <w:tcW w:w="7541" w:type="dxa"/>
            <w:shd w:val="clear" w:color="auto" w:fill="auto"/>
          </w:tcPr>
          <w:p w:rsidR="00C23834" w:rsidRPr="00C23834" w:rsidRDefault="00C23834" w:rsidP="00C23834">
            <w:pPr>
              <w:pStyle w:val="ECVSubSectionHeading"/>
            </w:pPr>
            <w:r>
              <w:t>Farmacist</w:t>
            </w:r>
          </w:p>
        </w:tc>
      </w:tr>
      <w:tr w:rsidR="00C23834" w:rsidRPr="003D3A8F" w:rsidTr="00C719B7">
        <w:trPr>
          <w:cantSplit/>
        </w:trPr>
        <w:tc>
          <w:tcPr>
            <w:tcW w:w="2834" w:type="dxa"/>
            <w:vMerge/>
            <w:shd w:val="clear" w:color="auto" w:fill="auto"/>
          </w:tcPr>
          <w:p w:rsidR="00C23834" w:rsidRDefault="00C23834" w:rsidP="00C23834"/>
        </w:tc>
        <w:tc>
          <w:tcPr>
            <w:tcW w:w="7541" w:type="dxa"/>
            <w:shd w:val="clear" w:color="auto" w:fill="auto"/>
          </w:tcPr>
          <w:p w:rsidR="00C23834" w:rsidRPr="003D3A8F" w:rsidRDefault="00C23834" w:rsidP="00C23834">
            <w:pPr>
              <w:pStyle w:val="ECVOrganisationDetails"/>
            </w:pPr>
            <w:r>
              <w:t xml:space="preserve">Minunea Naturii </w:t>
            </w:r>
          </w:p>
        </w:tc>
      </w:tr>
      <w:tr w:rsidR="00C23834" w:rsidTr="00C719B7">
        <w:trPr>
          <w:cantSplit/>
        </w:trPr>
        <w:tc>
          <w:tcPr>
            <w:tcW w:w="2834" w:type="dxa"/>
            <w:vMerge/>
            <w:shd w:val="clear" w:color="auto" w:fill="auto"/>
          </w:tcPr>
          <w:p w:rsidR="00C23834" w:rsidRDefault="00C23834" w:rsidP="00C23834"/>
        </w:tc>
        <w:tc>
          <w:tcPr>
            <w:tcW w:w="7541" w:type="dxa"/>
            <w:shd w:val="clear" w:color="auto" w:fill="auto"/>
          </w:tcPr>
          <w:p w:rsidR="00C23834" w:rsidRDefault="00C23834" w:rsidP="00C23834">
            <w:pPr>
              <w:pStyle w:val="ECVSectionBullet"/>
              <w:rPr>
                <w:szCs w:val="18"/>
              </w:rPr>
            </w:pPr>
            <w:r>
              <w:rPr>
                <w:szCs w:val="18"/>
              </w:rPr>
              <w:t xml:space="preserve">Str. Sfinții Apostoli Petru și Pavel 48, </w:t>
            </w:r>
            <w:r w:rsidRPr="00C23834">
              <w:rPr>
                <w:szCs w:val="18"/>
              </w:rPr>
              <w:t>300453</w:t>
            </w:r>
            <w:r>
              <w:rPr>
                <w:szCs w:val="18"/>
              </w:rPr>
              <w:t xml:space="preserve">,  </w:t>
            </w:r>
            <w:r w:rsidRPr="003D3A8F">
              <w:rPr>
                <w:szCs w:val="18"/>
              </w:rPr>
              <w:t>Timișoara, România</w:t>
            </w:r>
          </w:p>
          <w:p w:rsidR="00C23834" w:rsidRDefault="00C23834" w:rsidP="00C23834">
            <w:pPr>
              <w:pStyle w:val="ECVSectionBullet"/>
            </w:pPr>
          </w:p>
        </w:tc>
      </w:tr>
      <w:tr w:rsidR="00C23834" w:rsidRPr="00C23834" w:rsidTr="00C719B7">
        <w:trPr>
          <w:cantSplit/>
        </w:trPr>
        <w:tc>
          <w:tcPr>
            <w:tcW w:w="2834" w:type="dxa"/>
            <w:vMerge w:val="restart"/>
            <w:shd w:val="clear" w:color="auto" w:fill="auto"/>
          </w:tcPr>
          <w:p w:rsidR="00C23834" w:rsidRDefault="00C23834" w:rsidP="00C23834">
            <w:pPr>
              <w:pStyle w:val="ECVDate"/>
            </w:pPr>
            <w:r>
              <w:t>01.01.2021 – 07.01.2024</w:t>
            </w:r>
          </w:p>
        </w:tc>
        <w:tc>
          <w:tcPr>
            <w:tcW w:w="7541" w:type="dxa"/>
            <w:shd w:val="clear" w:color="auto" w:fill="auto"/>
          </w:tcPr>
          <w:p w:rsidR="00C23834" w:rsidRDefault="00C23834" w:rsidP="00C23834">
            <w:pPr>
              <w:pStyle w:val="ECVSubSectionHeading"/>
            </w:pPr>
            <w:r>
              <w:t>Farmacist rezident</w:t>
            </w:r>
          </w:p>
          <w:p w:rsidR="00C23834" w:rsidRDefault="00C23834" w:rsidP="00C23834">
            <w:pPr>
              <w:pStyle w:val="ECVSubSectionHeading"/>
            </w:pPr>
            <w:r>
              <w:rPr>
                <w:sz w:val="18"/>
                <w:szCs w:val="20"/>
              </w:rPr>
              <w:t>Specialitatea Farmacie Clinică</w:t>
            </w:r>
          </w:p>
        </w:tc>
      </w:tr>
      <w:tr w:rsidR="00C23834" w:rsidRPr="003D3A8F" w:rsidTr="00C719B7">
        <w:trPr>
          <w:cantSplit/>
        </w:trPr>
        <w:tc>
          <w:tcPr>
            <w:tcW w:w="2834" w:type="dxa"/>
            <w:vMerge/>
            <w:shd w:val="clear" w:color="auto" w:fill="auto"/>
          </w:tcPr>
          <w:p w:rsidR="00C23834" w:rsidRDefault="00C23834" w:rsidP="00C23834"/>
        </w:tc>
        <w:tc>
          <w:tcPr>
            <w:tcW w:w="7541" w:type="dxa"/>
            <w:shd w:val="clear" w:color="auto" w:fill="auto"/>
          </w:tcPr>
          <w:p w:rsidR="00C23834" w:rsidRPr="003D3A8F" w:rsidRDefault="00C23834" w:rsidP="00C23834">
            <w:pPr>
              <w:pStyle w:val="ECVOrganisationDetails"/>
            </w:pPr>
            <w:r w:rsidRPr="003D3A8F">
              <w:t>Spitalul Clinic Judeţean de Urgenţă "Pius Brînzeu" Timişoara</w:t>
            </w:r>
            <w:r>
              <w:t xml:space="preserve"> (SCJUPBT)</w:t>
            </w:r>
          </w:p>
        </w:tc>
      </w:tr>
      <w:tr w:rsidR="00C23834" w:rsidTr="00C719B7">
        <w:trPr>
          <w:cantSplit/>
        </w:trPr>
        <w:tc>
          <w:tcPr>
            <w:tcW w:w="2834" w:type="dxa"/>
            <w:vMerge/>
            <w:shd w:val="clear" w:color="auto" w:fill="auto"/>
          </w:tcPr>
          <w:p w:rsidR="00C23834" w:rsidRDefault="00C23834" w:rsidP="00C23834"/>
        </w:tc>
        <w:tc>
          <w:tcPr>
            <w:tcW w:w="7541" w:type="dxa"/>
            <w:shd w:val="clear" w:color="auto" w:fill="auto"/>
          </w:tcPr>
          <w:p w:rsidR="00C23834" w:rsidRDefault="00C23834" w:rsidP="00C23834">
            <w:pPr>
              <w:pStyle w:val="ECVSectionBullet"/>
              <w:rPr>
                <w:szCs w:val="18"/>
              </w:rPr>
            </w:pPr>
            <w:r w:rsidRPr="003D3A8F">
              <w:rPr>
                <w:szCs w:val="18"/>
              </w:rPr>
              <w:t>Bvd. Liviu Rebreanu 1</w:t>
            </w:r>
            <w:r>
              <w:rPr>
                <w:szCs w:val="18"/>
              </w:rPr>
              <w:t>5</w:t>
            </w:r>
            <w:r w:rsidRPr="003D3A8F">
              <w:rPr>
                <w:szCs w:val="18"/>
              </w:rPr>
              <w:t xml:space="preserve">6, </w:t>
            </w:r>
            <w:r>
              <w:rPr>
                <w:szCs w:val="18"/>
              </w:rPr>
              <w:t xml:space="preserve">300723, </w:t>
            </w:r>
            <w:r w:rsidRPr="003D3A8F">
              <w:rPr>
                <w:szCs w:val="18"/>
              </w:rPr>
              <w:t>Timișoara, România</w:t>
            </w:r>
          </w:p>
          <w:p w:rsidR="00C23834" w:rsidRDefault="00C23834" w:rsidP="00C23834">
            <w:pPr>
              <w:pStyle w:val="ECVSectionBullet"/>
            </w:pPr>
          </w:p>
        </w:tc>
      </w:tr>
      <w:tr w:rsidR="00C23834" w:rsidTr="00C719B7">
        <w:trPr>
          <w:cantSplit/>
        </w:trPr>
        <w:tc>
          <w:tcPr>
            <w:tcW w:w="2834" w:type="dxa"/>
            <w:vMerge w:val="restart"/>
            <w:shd w:val="clear" w:color="auto" w:fill="auto"/>
          </w:tcPr>
          <w:p w:rsidR="00C23834" w:rsidRDefault="004F49B4" w:rsidP="00C719B7">
            <w:pPr>
              <w:pStyle w:val="ECVDate"/>
            </w:pPr>
            <w:r>
              <w:t>03.2020 – 04.2021</w:t>
            </w:r>
          </w:p>
        </w:tc>
        <w:tc>
          <w:tcPr>
            <w:tcW w:w="7541" w:type="dxa"/>
            <w:shd w:val="clear" w:color="auto" w:fill="auto"/>
          </w:tcPr>
          <w:p w:rsidR="00C23834" w:rsidRDefault="00C23834" w:rsidP="00C719B7">
            <w:pPr>
              <w:pStyle w:val="ECVSubSectionHeading"/>
            </w:pPr>
            <w:r>
              <w:t>Coordonator Național IT &amp; Design</w:t>
            </w:r>
          </w:p>
        </w:tc>
      </w:tr>
      <w:tr w:rsidR="00C23834" w:rsidRPr="003D3A8F" w:rsidTr="00C719B7">
        <w:trPr>
          <w:cantSplit/>
        </w:trPr>
        <w:tc>
          <w:tcPr>
            <w:tcW w:w="2834" w:type="dxa"/>
            <w:vMerge/>
            <w:shd w:val="clear" w:color="auto" w:fill="auto"/>
          </w:tcPr>
          <w:p w:rsidR="00C23834" w:rsidRDefault="00C23834" w:rsidP="00C719B7"/>
        </w:tc>
        <w:tc>
          <w:tcPr>
            <w:tcW w:w="7541" w:type="dxa"/>
            <w:shd w:val="clear" w:color="auto" w:fill="auto"/>
          </w:tcPr>
          <w:p w:rsidR="00C23834" w:rsidRPr="003D3A8F" w:rsidRDefault="00C23834" w:rsidP="00C719B7">
            <w:pPr>
              <w:pStyle w:val="ECVOrganisationDetails"/>
            </w:pPr>
            <w:r>
              <w:t xml:space="preserve">Federația Asociațiilor Studenților Farmaciști din România (FASFR) </w:t>
            </w:r>
          </w:p>
        </w:tc>
      </w:tr>
      <w:tr w:rsidR="00C23834" w:rsidTr="00C719B7">
        <w:trPr>
          <w:cantSplit/>
        </w:trPr>
        <w:tc>
          <w:tcPr>
            <w:tcW w:w="2834" w:type="dxa"/>
            <w:vMerge/>
            <w:shd w:val="clear" w:color="auto" w:fill="auto"/>
          </w:tcPr>
          <w:p w:rsidR="00C23834" w:rsidRDefault="00C23834" w:rsidP="00C719B7"/>
        </w:tc>
        <w:tc>
          <w:tcPr>
            <w:tcW w:w="7541" w:type="dxa"/>
            <w:shd w:val="clear" w:color="auto" w:fill="auto"/>
          </w:tcPr>
          <w:p w:rsidR="00C23834" w:rsidRDefault="00C23834" w:rsidP="00C719B7">
            <w:pPr>
              <w:pStyle w:val="ECVSectionBullet"/>
              <w:rPr>
                <w:szCs w:val="18"/>
              </w:rPr>
            </w:pPr>
            <w:r>
              <w:rPr>
                <w:szCs w:val="18"/>
              </w:rPr>
              <w:t>Str. Viitorului 4,</w:t>
            </w:r>
            <w:r>
              <w:t xml:space="preserve"> </w:t>
            </w:r>
            <w:r w:rsidRPr="00C23834">
              <w:rPr>
                <w:szCs w:val="18"/>
              </w:rPr>
              <w:t>020601</w:t>
            </w:r>
            <w:r>
              <w:rPr>
                <w:szCs w:val="18"/>
              </w:rPr>
              <w:t>, Sector 2, București</w:t>
            </w:r>
            <w:r w:rsidRPr="003D3A8F">
              <w:rPr>
                <w:szCs w:val="18"/>
              </w:rPr>
              <w:t>, România</w:t>
            </w:r>
          </w:p>
          <w:p w:rsidR="00C23834" w:rsidRDefault="00C23834" w:rsidP="00C719B7">
            <w:pPr>
              <w:pStyle w:val="ECVSectionBullet"/>
            </w:pPr>
          </w:p>
        </w:tc>
      </w:tr>
      <w:tr w:rsidR="00C23834" w:rsidTr="00C719B7">
        <w:trPr>
          <w:cantSplit/>
        </w:trPr>
        <w:tc>
          <w:tcPr>
            <w:tcW w:w="2834" w:type="dxa"/>
            <w:vMerge w:val="restart"/>
            <w:shd w:val="clear" w:color="auto" w:fill="auto"/>
          </w:tcPr>
          <w:p w:rsidR="00C23834" w:rsidRDefault="00E67660" w:rsidP="00C719B7">
            <w:pPr>
              <w:pStyle w:val="ECVDate"/>
            </w:pPr>
            <w:r>
              <w:t>04</w:t>
            </w:r>
            <w:r w:rsidR="00C23834">
              <w:t>.20</w:t>
            </w:r>
            <w:r>
              <w:t>19</w:t>
            </w:r>
            <w:r w:rsidR="00C23834">
              <w:t xml:space="preserve"> – </w:t>
            </w:r>
            <w:r>
              <w:t>10</w:t>
            </w:r>
            <w:r w:rsidR="00C23834">
              <w:t>.202</w:t>
            </w:r>
            <w:r>
              <w:t>0</w:t>
            </w:r>
          </w:p>
        </w:tc>
        <w:tc>
          <w:tcPr>
            <w:tcW w:w="7541" w:type="dxa"/>
            <w:shd w:val="clear" w:color="auto" w:fill="auto"/>
          </w:tcPr>
          <w:p w:rsidR="00C23834" w:rsidRPr="00C23834" w:rsidRDefault="00C23834" w:rsidP="00C719B7">
            <w:pPr>
              <w:pStyle w:val="ECVSubSectionHeading"/>
            </w:pPr>
            <w:r>
              <w:t>Coordonator Local IT &amp; Design</w:t>
            </w:r>
          </w:p>
        </w:tc>
      </w:tr>
      <w:tr w:rsidR="00C23834" w:rsidRPr="003D3A8F" w:rsidTr="00C719B7">
        <w:trPr>
          <w:cantSplit/>
        </w:trPr>
        <w:tc>
          <w:tcPr>
            <w:tcW w:w="2834" w:type="dxa"/>
            <w:vMerge/>
            <w:shd w:val="clear" w:color="auto" w:fill="auto"/>
          </w:tcPr>
          <w:p w:rsidR="00C23834" w:rsidRDefault="00C23834" w:rsidP="00C719B7"/>
        </w:tc>
        <w:tc>
          <w:tcPr>
            <w:tcW w:w="7541" w:type="dxa"/>
            <w:shd w:val="clear" w:color="auto" w:fill="auto"/>
          </w:tcPr>
          <w:p w:rsidR="00C23834" w:rsidRPr="003D3A8F" w:rsidRDefault="00C23834" w:rsidP="00C719B7">
            <w:pPr>
              <w:pStyle w:val="ECVOrganisationDetails"/>
            </w:pPr>
            <w:r>
              <w:t>Liga Studenților Farmaciști din Timișoara (LSFT)</w:t>
            </w:r>
          </w:p>
        </w:tc>
      </w:tr>
      <w:tr w:rsidR="00C23834" w:rsidTr="00C719B7">
        <w:trPr>
          <w:cantSplit/>
        </w:trPr>
        <w:tc>
          <w:tcPr>
            <w:tcW w:w="2834" w:type="dxa"/>
            <w:vMerge/>
            <w:shd w:val="clear" w:color="auto" w:fill="auto"/>
          </w:tcPr>
          <w:p w:rsidR="00C23834" w:rsidRDefault="00C23834" w:rsidP="00C719B7"/>
        </w:tc>
        <w:tc>
          <w:tcPr>
            <w:tcW w:w="7541" w:type="dxa"/>
            <w:shd w:val="clear" w:color="auto" w:fill="auto"/>
          </w:tcPr>
          <w:p w:rsidR="00C23834" w:rsidRDefault="00C23834" w:rsidP="00C23834">
            <w:pPr>
              <w:pStyle w:val="ECVSectionBullet"/>
              <w:rPr>
                <w:szCs w:val="18"/>
              </w:rPr>
            </w:pPr>
            <w:r>
              <w:rPr>
                <w:szCs w:val="18"/>
              </w:rPr>
              <w:t>Piața Eftimie Murgu 1</w:t>
            </w:r>
            <w:r w:rsidRPr="003D3A8F">
              <w:rPr>
                <w:szCs w:val="18"/>
              </w:rPr>
              <w:t xml:space="preserve">, </w:t>
            </w:r>
            <w:r>
              <w:rPr>
                <w:szCs w:val="18"/>
              </w:rPr>
              <w:t xml:space="preserve">300041, </w:t>
            </w:r>
            <w:r w:rsidRPr="003D3A8F">
              <w:rPr>
                <w:szCs w:val="18"/>
              </w:rPr>
              <w:t>Timișoara, România</w:t>
            </w:r>
          </w:p>
          <w:p w:rsidR="00C23834" w:rsidRDefault="00C23834" w:rsidP="00C719B7">
            <w:pPr>
              <w:pStyle w:val="ECVSectionBullet"/>
            </w:pPr>
          </w:p>
        </w:tc>
      </w:tr>
    </w:tbl>
    <w:p w:rsidR="008C16D4" w:rsidRDefault="008C16D4">
      <w:pPr>
        <w:pStyle w:val="ECVText"/>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8C16D4">
        <w:trPr>
          <w:trHeight w:val="170"/>
        </w:trPr>
        <w:tc>
          <w:tcPr>
            <w:tcW w:w="2835" w:type="dxa"/>
            <w:shd w:val="clear" w:color="auto" w:fill="auto"/>
          </w:tcPr>
          <w:p w:rsidR="008C16D4" w:rsidRDefault="008C16D4">
            <w:pPr>
              <w:pStyle w:val="ECVLeftHeading"/>
            </w:pPr>
            <w:r>
              <w:rPr>
                <w:caps w:val="0"/>
              </w:rPr>
              <w:t>EDUCAŢIE ŞI FORMARE</w:t>
            </w:r>
          </w:p>
        </w:tc>
        <w:tc>
          <w:tcPr>
            <w:tcW w:w="7540" w:type="dxa"/>
            <w:shd w:val="clear" w:color="auto" w:fill="auto"/>
            <w:vAlign w:val="bottom"/>
          </w:tcPr>
          <w:p w:rsidR="008C16D4" w:rsidRDefault="003D3A8F">
            <w:pPr>
              <w:pStyle w:val="ECVBlueBox"/>
            </w:pPr>
            <w:r>
              <w:rPr>
                <w:noProof/>
                <w:lang w:val="en-US" w:eastAsia="en-US" w:bidi="ar-SA"/>
              </w:rPr>
              <w:drawing>
                <wp:inline distT="0" distB="0" distL="0" distR="0">
                  <wp:extent cx="4791075" cy="9017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90170"/>
                          </a:xfrm>
                          <a:prstGeom prst="rect">
                            <a:avLst/>
                          </a:prstGeom>
                          <a:solidFill>
                            <a:srgbClr val="FFFFFF"/>
                          </a:solidFill>
                          <a:ln>
                            <a:noFill/>
                          </a:ln>
                        </pic:spPr>
                      </pic:pic>
                    </a:graphicData>
                  </a:graphic>
                </wp:inline>
              </w:drawing>
            </w:r>
            <w:r w:rsidR="008C16D4">
              <w:t xml:space="preserve"> </w:t>
            </w:r>
          </w:p>
        </w:tc>
      </w:tr>
    </w:tbl>
    <w:p w:rsidR="008C16D4" w:rsidRDefault="008C16D4">
      <w:pPr>
        <w:pStyle w:val="ECVComments"/>
      </w:pPr>
      <w:r>
        <w:t xml:space="preserve"> </w:t>
      </w: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7F38E2" w:rsidTr="007F38E2">
        <w:trPr>
          <w:cantSplit/>
          <w:trHeight w:val="279"/>
        </w:trPr>
        <w:tc>
          <w:tcPr>
            <w:tcW w:w="2834" w:type="dxa"/>
            <w:vMerge w:val="restart"/>
            <w:shd w:val="clear" w:color="auto" w:fill="auto"/>
          </w:tcPr>
          <w:p w:rsidR="007F38E2" w:rsidRDefault="007F38E2" w:rsidP="007F38E2">
            <w:pPr>
              <w:pStyle w:val="ECVDate"/>
            </w:pPr>
            <w:r>
              <w:t xml:space="preserve">2017 – 2020 </w:t>
            </w:r>
          </w:p>
        </w:tc>
        <w:tc>
          <w:tcPr>
            <w:tcW w:w="6237" w:type="dxa"/>
            <w:shd w:val="clear" w:color="auto" w:fill="auto"/>
          </w:tcPr>
          <w:p w:rsidR="004F49B4" w:rsidRDefault="007F38E2" w:rsidP="004F49B4">
            <w:pPr>
              <w:pStyle w:val="ECVSubSectionHeading"/>
            </w:pPr>
            <w:r>
              <w:t>Informatică</w:t>
            </w:r>
          </w:p>
          <w:p w:rsidR="004F49B4" w:rsidRPr="00C23834" w:rsidRDefault="004F49B4" w:rsidP="004F49B4">
            <w:pPr>
              <w:pStyle w:val="ECVSubSectionHeading"/>
            </w:pPr>
            <w:r>
              <w:rPr>
                <w:sz w:val="18"/>
                <w:szCs w:val="20"/>
              </w:rPr>
              <w:t xml:space="preserve">Diplomă de licență </w:t>
            </w:r>
          </w:p>
        </w:tc>
        <w:tc>
          <w:tcPr>
            <w:tcW w:w="1305" w:type="dxa"/>
            <w:shd w:val="clear" w:color="auto" w:fill="auto"/>
          </w:tcPr>
          <w:p w:rsidR="007F38E2" w:rsidRDefault="007F38E2" w:rsidP="007F38E2">
            <w:pPr>
              <w:pStyle w:val="ECVRightHeading"/>
              <w:jc w:val="left"/>
            </w:pPr>
          </w:p>
        </w:tc>
      </w:tr>
      <w:tr w:rsidR="008C16D4">
        <w:trPr>
          <w:cantSplit/>
        </w:trPr>
        <w:tc>
          <w:tcPr>
            <w:tcW w:w="2834" w:type="dxa"/>
            <w:vMerge/>
            <w:shd w:val="clear" w:color="auto" w:fill="auto"/>
          </w:tcPr>
          <w:p w:rsidR="008C16D4" w:rsidRDefault="008C16D4"/>
        </w:tc>
        <w:tc>
          <w:tcPr>
            <w:tcW w:w="7542" w:type="dxa"/>
            <w:gridSpan w:val="2"/>
            <w:shd w:val="clear" w:color="auto" w:fill="auto"/>
          </w:tcPr>
          <w:p w:rsidR="007F38E2" w:rsidRDefault="007F38E2">
            <w:pPr>
              <w:pStyle w:val="ECVOrganisationDetails"/>
            </w:pPr>
            <w:r w:rsidRPr="003D3A8F">
              <w:t xml:space="preserve">Universitatea </w:t>
            </w:r>
            <w:r>
              <w:t>Politehnica Timișoara (UPT), Facultatea de Automatică și Calculatoare</w:t>
            </w:r>
          </w:p>
        </w:tc>
      </w:tr>
      <w:tr w:rsidR="008C16D4">
        <w:trPr>
          <w:cantSplit/>
        </w:trPr>
        <w:tc>
          <w:tcPr>
            <w:tcW w:w="2834" w:type="dxa"/>
            <w:vMerge/>
            <w:shd w:val="clear" w:color="auto" w:fill="auto"/>
          </w:tcPr>
          <w:p w:rsidR="008C16D4" w:rsidRDefault="008C16D4"/>
        </w:tc>
        <w:tc>
          <w:tcPr>
            <w:tcW w:w="7542" w:type="dxa"/>
            <w:gridSpan w:val="2"/>
            <w:shd w:val="clear" w:color="auto" w:fill="auto"/>
          </w:tcPr>
          <w:p w:rsidR="008C16D4" w:rsidRDefault="007F38E2" w:rsidP="007F38E2">
            <w:pPr>
              <w:pStyle w:val="ECVSectionBullet"/>
            </w:pPr>
            <w:r>
              <w:t xml:space="preserve">Piața Victoriei 2, </w:t>
            </w:r>
            <w:r w:rsidRPr="007F38E2">
              <w:t>300006</w:t>
            </w:r>
            <w:r>
              <w:t>, Timișoara, România</w:t>
            </w:r>
          </w:p>
          <w:p w:rsidR="007F38E2" w:rsidRDefault="007F38E2" w:rsidP="007F38E2">
            <w:pPr>
              <w:pStyle w:val="ECVSectionBullet"/>
            </w:pPr>
          </w:p>
        </w:tc>
      </w:tr>
      <w:tr w:rsidR="007F38E2" w:rsidTr="00C719B7">
        <w:trPr>
          <w:cantSplit/>
        </w:trPr>
        <w:tc>
          <w:tcPr>
            <w:tcW w:w="2834" w:type="dxa"/>
            <w:vMerge w:val="restart"/>
            <w:shd w:val="clear" w:color="auto" w:fill="auto"/>
          </w:tcPr>
          <w:p w:rsidR="007F38E2" w:rsidRDefault="007F38E2" w:rsidP="00C719B7">
            <w:pPr>
              <w:pStyle w:val="ECVDate"/>
            </w:pPr>
            <w:r>
              <w:t xml:space="preserve">2015 – 2020 </w:t>
            </w:r>
          </w:p>
        </w:tc>
        <w:tc>
          <w:tcPr>
            <w:tcW w:w="6237" w:type="dxa"/>
            <w:shd w:val="clear" w:color="auto" w:fill="auto"/>
          </w:tcPr>
          <w:p w:rsidR="007F38E2" w:rsidRDefault="007F38E2" w:rsidP="00C719B7">
            <w:pPr>
              <w:pStyle w:val="ECVSubSectionHeading"/>
            </w:pPr>
            <w:r>
              <w:t>Farmacie</w:t>
            </w:r>
          </w:p>
          <w:p w:rsidR="004F49B4" w:rsidRDefault="004F49B4" w:rsidP="00C719B7">
            <w:pPr>
              <w:pStyle w:val="ECVSubSectionHeading"/>
            </w:pPr>
            <w:r>
              <w:rPr>
                <w:sz w:val="18"/>
                <w:szCs w:val="20"/>
              </w:rPr>
              <w:t>Diplomă de licență și master</w:t>
            </w:r>
          </w:p>
        </w:tc>
        <w:tc>
          <w:tcPr>
            <w:tcW w:w="1305" w:type="dxa"/>
            <w:shd w:val="clear" w:color="auto" w:fill="auto"/>
          </w:tcPr>
          <w:p w:rsidR="007F38E2" w:rsidRDefault="007F38E2" w:rsidP="007F38E2">
            <w:pPr>
              <w:pStyle w:val="ECVRightHeading"/>
              <w:jc w:val="left"/>
            </w:pPr>
            <w:r>
              <w:t xml:space="preserve"> 7 EQF/CEC</w:t>
            </w:r>
          </w:p>
        </w:tc>
      </w:tr>
      <w:tr w:rsidR="007F38E2" w:rsidTr="00C719B7">
        <w:trPr>
          <w:cantSplit/>
        </w:trPr>
        <w:tc>
          <w:tcPr>
            <w:tcW w:w="2834" w:type="dxa"/>
            <w:vMerge/>
            <w:shd w:val="clear" w:color="auto" w:fill="auto"/>
          </w:tcPr>
          <w:p w:rsidR="007F38E2" w:rsidRDefault="007F38E2" w:rsidP="00C719B7"/>
        </w:tc>
        <w:tc>
          <w:tcPr>
            <w:tcW w:w="7542" w:type="dxa"/>
            <w:gridSpan w:val="2"/>
            <w:shd w:val="clear" w:color="auto" w:fill="auto"/>
          </w:tcPr>
          <w:p w:rsidR="007F38E2" w:rsidRDefault="007F38E2" w:rsidP="00C719B7">
            <w:pPr>
              <w:pStyle w:val="ECVOrganisationDetails"/>
            </w:pPr>
            <w:r w:rsidRPr="003D3A8F">
              <w:t xml:space="preserve">Universitatea de Medicină și Farmacie </w:t>
            </w:r>
            <w:r>
              <w:rPr>
                <w:lang w:val="en-US"/>
              </w:rPr>
              <w:t>“</w:t>
            </w:r>
            <w:r w:rsidRPr="003D3A8F">
              <w:t>Victor Babeș</w:t>
            </w:r>
            <w:r>
              <w:t>” din Timișoara (UMFVBT)</w:t>
            </w:r>
            <w:r w:rsidR="004F49B4">
              <w:t>, Facultatea de Farmacie</w:t>
            </w:r>
          </w:p>
        </w:tc>
      </w:tr>
      <w:tr w:rsidR="007F38E2" w:rsidTr="00C719B7">
        <w:trPr>
          <w:cantSplit/>
        </w:trPr>
        <w:tc>
          <w:tcPr>
            <w:tcW w:w="2834" w:type="dxa"/>
            <w:vMerge/>
            <w:shd w:val="clear" w:color="auto" w:fill="auto"/>
          </w:tcPr>
          <w:p w:rsidR="007F38E2" w:rsidRDefault="007F38E2" w:rsidP="00C719B7"/>
        </w:tc>
        <w:tc>
          <w:tcPr>
            <w:tcW w:w="7542" w:type="dxa"/>
            <w:gridSpan w:val="2"/>
            <w:shd w:val="clear" w:color="auto" w:fill="auto"/>
          </w:tcPr>
          <w:p w:rsidR="007F38E2" w:rsidRDefault="007F38E2" w:rsidP="007F38E2">
            <w:pPr>
              <w:pStyle w:val="ECVSectionBullet"/>
              <w:rPr>
                <w:szCs w:val="18"/>
              </w:rPr>
            </w:pPr>
            <w:r>
              <w:rPr>
                <w:szCs w:val="18"/>
              </w:rPr>
              <w:t>Piața Eftimie Murgu 1</w:t>
            </w:r>
            <w:r w:rsidRPr="003D3A8F">
              <w:rPr>
                <w:szCs w:val="18"/>
              </w:rPr>
              <w:t xml:space="preserve">, </w:t>
            </w:r>
            <w:r>
              <w:rPr>
                <w:szCs w:val="18"/>
              </w:rPr>
              <w:t xml:space="preserve">300041, </w:t>
            </w:r>
            <w:r w:rsidRPr="003D3A8F">
              <w:rPr>
                <w:szCs w:val="18"/>
              </w:rPr>
              <w:t>Timișoara, România</w:t>
            </w:r>
          </w:p>
          <w:p w:rsidR="007F38E2" w:rsidRDefault="007F38E2" w:rsidP="007F38E2">
            <w:pPr>
              <w:pStyle w:val="ECVSectionBullet"/>
            </w:pPr>
          </w:p>
        </w:tc>
      </w:tr>
    </w:tbl>
    <w:p w:rsidR="008C16D4" w:rsidRDefault="008C16D4">
      <w:pPr>
        <w:pStyle w:val="ECVText"/>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8C16D4">
        <w:trPr>
          <w:trHeight w:val="170"/>
        </w:trPr>
        <w:tc>
          <w:tcPr>
            <w:tcW w:w="2835" w:type="dxa"/>
            <w:shd w:val="clear" w:color="auto" w:fill="auto"/>
          </w:tcPr>
          <w:p w:rsidR="008C16D4" w:rsidRDefault="008C16D4">
            <w:pPr>
              <w:pStyle w:val="ECVLeftHeading"/>
            </w:pPr>
            <w:r>
              <w:rPr>
                <w:caps w:val="0"/>
              </w:rPr>
              <w:t>COMPETENΤE PERSONALE</w:t>
            </w:r>
          </w:p>
        </w:tc>
        <w:tc>
          <w:tcPr>
            <w:tcW w:w="7540" w:type="dxa"/>
            <w:shd w:val="clear" w:color="auto" w:fill="auto"/>
            <w:vAlign w:val="bottom"/>
          </w:tcPr>
          <w:p w:rsidR="008C16D4" w:rsidRDefault="003D3A8F">
            <w:pPr>
              <w:pStyle w:val="ECVBlueBox"/>
            </w:pPr>
            <w:r>
              <w:rPr>
                <w:noProof/>
                <w:lang w:val="en-US" w:eastAsia="en-US" w:bidi="ar-SA"/>
              </w:rPr>
              <w:drawing>
                <wp:inline distT="0" distB="0" distL="0" distR="0">
                  <wp:extent cx="4791075" cy="90170"/>
                  <wp:effectExtent l="0" t="0" r="0" b="0"/>
                  <wp:docPr id="5"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90170"/>
                          </a:xfrm>
                          <a:prstGeom prst="rect">
                            <a:avLst/>
                          </a:prstGeom>
                          <a:solidFill>
                            <a:srgbClr val="FFFFFF"/>
                          </a:solidFill>
                          <a:ln>
                            <a:noFill/>
                          </a:ln>
                        </pic:spPr>
                      </pic:pic>
                    </a:graphicData>
                  </a:graphic>
                </wp:inline>
              </w:drawing>
            </w:r>
            <w:r w:rsidR="008C16D4">
              <w:t xml:space="preserve"> </w:t>
            </w:r>
          </w:p>
        </w:tc>
      </w:tr>
    </w:tbl>
    <w:tbl>
      <w:tblPr>
        <w:tblpPr w:topFromText="6" w:bottomFromText="170" w:vertAnchor="text" w:horzAnchor="margin" w:tblpY="3044"/>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4361B9" w:rsidTr="004361B9">
        <w:trPr>
          <w:trHeight w:val="340"/>
        </w:trPr>
        <w:tc>
          <w:tcPr>
            <w:tcW w:w="2834" w:type="dxa"/>
            <w:shd w:val="clear" w:color="auto" w:fill="auto"/>
          </w:tcPr>
          <w:p w:rsidR="004361B9" w:rsidRDefault="004361B9" w:rsidP="004361B9">
            <w:pPr>
              <w:pStyle w:val="ECVLeftDetails"/>
            </w:pPr>
            <w:r>
              <w:t xml:space="preserve">Competenţe </w:t>
            </w:r>
          </w:p>
          <w:p w:rsidR="004361B9" w:rsidRDefault="004361B9" w:rsidP="004361B9">
            <w:pPr>
              <w:pStyle w:val="ECVLeftDetails"/>
            </w:pPr>
            <w:r>
              <w:t xml:space="preserve">de comunicare </w:t>
            </w:r>
          </w:p>
        </w:tc>
        <w:tc>
          <w:tcPr>
            <w:tcW w:w="7542" w:type="dxa"/>
            <w:gridSpan w:val="5"/>
            <w:tcBorders>
              <w:top w:val="single" w:sz="8" w:space="0" w:color="C0C0C0"/>
              <w:bottom w:val="single" w:sz="8" w:space="0" w:color="C0C0C0"/>
            </w:tcBorders>
            <w:shd w:val="clear" w:color="auto" w:fill="auto"/>
          </w:tcPr>
          <w:p w:rsidR="004361B9" w:rsidRDefault="004361B9" w:rsidP="004361B9">
            <w:pPr>
              <w:pStyle w:val="ECVSectionBullet"/>
            </w:pPr>
            <w:r>
              <w:t>Abilități de comunicare empatică și diplomatică.</w:t>
            </w:r>
          </w:p>
          <w:p w:rsidR="004361B9" w:rsidRDefault="004361B9" w:rsidP="004361B9">
            <w:pPr>
              <w:pStyle w:val="ECVSectionBullet"/>
            </w:pPr>
            <w:r>
              <w:t>Ascultare activă și oferire de feedback constructiv.</w:t>
            </w:r>
          </w:p>
          <w:p w:rsidR="004361B9" w:rsidRDefault="004361B9" w:rsidP="004361B9">
            <w:pPr>
              <w:pStyle w:val="ECVSectionBullet"/>
            </w:pPr>
          </w:p>
        </w:tc>
      </w:tr>
      <w:tr w:rsidR="004361B9" w:rsidTr="004361B9">
        <w:trPr>
          <w:trHeight w:val="340"/>
        </w:trPr>
        <w:tc>
          <w:tcPr>
            <w:tcW w:w="2834" w:type="dxa"/>
            <w:shd w:val="clear" w:color="auto" w:fill="auto"/>
          </w:tcPr>
          <w:p w:rsidR="004361B9" w:rsidRDefault="004361B9" w:rsidP="004361B9">
            <w:pPr>
              <w:pStyle w:val="ECVLeftDetails"/>
            </w:pPr>
            <w:r>
              <w:t>Competenţe organizaţionale/manageriale</w:t>
            </w:r>
          </w:p>
        </w:tc>
        <w:tc>
          <w:tcPr>
            <w:tcW w:w="7542" w:type="dxa"/>
            <w:gridSpan w:val="5"/>
            <w:tcBorders>
              <w:top w:val="single" w:sz="8" w:space="0" w:color="C0C0C0"/>
              <w:bottom w:val="single" w:sz="8" w:space="0" w:color="C0C0C0"/>
            </w:tcBorders>
            <w:shd w:val="clear" w:color="auto" w:fill="auto"/>
          </w:tcPr>
          <w:p w:rsidR="004361B9" w:rsidRDefault="004361B9" w:rsidP="004361B9">
            <w:pPr>
              <w:pStyle w:val="ECVSectionBullet"/>
            </w:pPr>
            <w:r>
              <w:t>Bune competențe de organizare și gestionare a timpului și resurselor.</w:t>
            </w:r>
          </w:p>
          <w:p w:rsidR="004361B9" w:rsidRDefault="004361B9" w:rsidP="004361B9">
            <w:pPr>
              <w:pStyle w:val="ECVSectionBullet"/>
            </w:pPr>
            <w:r>
              <w:t>C</w:t>
            </w:r>
            <w:r w:rsidRPr="00637809">
              <w:t>apacitate de planifica</w:t>
            </w:r>
            <w:r w:rsidR="00CD4D9E">
              <w:t>re</w:t>
            </w:r>
            <w:r w:rsidRPr="00637809">
              <w:t>, prioritiza</w:t>
            </w:r>
            <w:r w:rsidR="00CD4D9E">
              <w:t>re</w:t>
            </w:r>
            <w:r w:rsidRPr="00637809">
              <w:t xml:space="preserve"> și finaliza</w:t>
            </w:r>
            <w:r w:rsidR="00CD4D9E">
              <w:t>re a</w:t>
            </w:r>
            <w:r w:rsidRPr="00637809">
              <w:t xml:space="preserve"> sarcinil</w:t>
            </w:r>
            <w:r w:rsidR="00CD4D9E">
              <w:t>or</w:t>
            </w:r>
            <w:r w:rsidRPr="00637809">
              <w:t xml:space="preserve"> într-un mod efic</w:t>
            </w:r>
            <w:r>
              <w:t>ient și prompt</w:t>
            </w:r>
            <w:r w:rsidRPr="00637809">
              <w:t>.</w:t>
            </w:r>
          </w:p>
          <w:p w:rsidR="004361B9" w:rsidRDefault="004361B9" w:rsidP="004361B9">
            <w:pPr>
              <w:pStyle w:val="ECVSectionBullet"/>
            </w:pPr>
          </w:p>
        </w:tc>
      </w:tr>
      <w:tr w:rsidR="004361B9" w:rsidTr="004361B9">
        <w:trPr>
          <w:trHeight w:val="340"/>
        </w:trPr>
        <w:tc>
          <w:tcPr>
            <w:tcW w:w="2834" w:type="dxa"/>
            <w:shd w:val="clear" w:color="auto" w:fill="auto"/>
          </w:tcPr>
          <w:p w:rsidR="004361B9" w:rsidRDefault="004361B9" w:rsidP="004361B9">
            <w:pPr>
              <w:pStyle w:val="ECVLeftDetails"/>
            </w:pPr>
            <w:r>
              <w:t xml:space="preserve">Competenţe </w:t>
            </w:r>
          </w:p>
          <w:p w:rsidR="004361B9" w:rsidRDefault="004361B9" w:rsidP="004361B9">
            <w:pPr>
              <w:pStyle w:val="ECVLeftDetails"/>
            </w:pPr>
            <w:r>
              <w:t>dobândite la locul de muncă</w:t>
            </w:r>
          </w:p>
        </w:tc>
        <w:tc>
          <w:tcPr>
            <w:tcW w:w="7542" w:type="dxa"/>
            <w:gridSpan w:val="5"/>
            <w:tcBorders>
              <w:top w:val="single" w:sz="8" w:space="0" w:color="C0C0C0"/>
              <w:bottom w:val="single" w:sz="8" w:space="0" w:color="C0C0C0"/>
            </w:tcBorders>
            <w:shd w:val="clear" w:color="auto" w:fill="auto"/>
          </w:tcPr>
          <w:p w:rsidR="004361B9" w:rsidRDefault="004361B9" w:rsidP="004361B9">
            <w:pPr>
              <w:pStyle w:val="ECVSectionDetails"/>
            </w:pPr>
            <w:r>
              <w:t xml:space="preserve">Utilizarea de tehnici de biologie moleculară precum: </w:t>
            </w:r>
          </w:p>
          <w:p w:rsidR="004361B9" w:rsidRDefault="004361B9" w:rsidP="004361B9">
            <w:pPr>
              <w:pStyle w:val="ECVSectionBullet"/>
              <w:numPr>
                <w:ilvl w:val="0"/>
                <w:numId w:val="2"/>
              </w:numPr>
            </w:pPr>
            <w:r>
              <w:t>RT-PCR, qRT-PCR</w:t>
            </w:r>
          </w:p>
          <w:p w:rsidR="004361B9" w:rsidRDefault="004361B9" w:rsidP="004361B9">
            <w:pPr>
              <w:pStyle w:val="ECVSectionBullet"/>
              <w:numPr>
                <w:ilvl w:val="0"/>
                <w:numId w:val="2"/>
              </w:numPr>
            </w:pPr>
            <w:r>
              <w:t>Secvențiere NGS</w:t>
            </w:r>
          </w:p>
          <w:p w:rsidR="004361B9" w:rsidRDefault="004361B9" w:rsidP="00CD4D9E">
            <w:pPr>
              <w:pStyle w:val="ECVSectionBullet"/>
              <w:numPr>
                <w:ilvl w:val="0"/>
                <w:numId w:val="2"/>
              </w:numPr>
            </w:pPr>
            <w:r>
              <w:t>ELISA</w:t>
            </w:r>
            <w:r w:rsidR="00CD4D9E">
              <w:t xml:space="preserve">, </w:t>
            </w:r>
            <w:r>
              <w:t>Elecroforeză</w:t>
            </w:r>
            <w:r w:rsidR="00CD4D9E">
              <w:t>, Cromatografie în strat subțire</w:t>
            </w:r>
          </w:p>
          <w:p w:rsidR="004361B9" w:rsidRDefault="004361B9" w:rsidP="004361B9">
            <w:pPr>
              <w:pStyle w:val="ECVSectionBullet"/>
            </w:pPr>
          </w:p>
        </w:tc>
      </w:tr>
      <w:tr w:rsidR="004361B9" w:rsidTr="004361B9">
        <w:trPr>
          <w:trHeight w:val="340"/>
        </w:trPr>
        <w:tc>
          <w:tcPr>
            <w:tcW w:w="2834" w:type="dxa"/>
            <w:vMerge w:val="restart"/>
            <w:shd w:val="clear" w:color="auto" w:fill="auto"/>
          </w:tcPr>
          <w:p w:rsidR="004361B9" w:rsidRDefault="004361B9" w:rsidP="004361B9">
            <w:pPr>
              <w:pStyle w:val="ECVLeftDetails"/>
            </w:pPr>
            <w:r>
              <w:t xml:space="preserve">Competenţe </w:t>
            </w:r>
          </w:p>
          <w:p w:rsidR="004361B9" w:rsidRDefault="004361B9" w:rsidP="004361B9">
            <w:pPr>
              <w:pStyle w:val="ECVLeftDetails"/>
            </w:pPr>
            <w:r>
              <w:t>digitale</w:t>
            </w:r>
          </w:p>
        </w:tc>
        <w:tc>
          <w:tcPr>
            <w:tcW w:w="7542" w:type="dxa"/>
            <w:gridSpan w:val="5"/>
            <w:tcBorders>
              <w:top w:val="single" w:sz="8" w:space="0" w:color="C0C0C0"/>
              <w:bottom w:val="single" w:sz="8" w:space="0" w:color="C0C0C0"/>
            </w:tcBorders>
            <w:shd w:val="clear" w:color="auto" w:fill="auto"/>
            <w:vAlign w:val="center"/>
          </w:tcPr>
          <w:p w:rsidR="004361B9" w:rsidRDefault="004361B9" w:rsidP="004361B9">
            <w:pPr>
              <w:pStyle w:val="ECVLanguageHeading"/>
            </w:pPr>
            <w:r>
              <w:rPr>
                <w:caps w:val="0"/>
              </w:rPr>
              <w:t>AUTOEVALUARE</w:t>
            </w:r>
          </w:p>
        </w:tc>
      </w:tr>
      <w:tr w:rsidR="004361B9" w:rsidTr="004361B9">
        <w:tblPrEx>
          <w:tblCellMar>
            <w:left w:w="227" w:type="dxa"/>
            <w:right w:w="227" w:type="dxa"/>
          </w:tblCellMar>
        </w:tblPrEx>
        <w:trPr>
          <w:trHeight w:val="478"/>
        </w:trPr>
        <w:tc>
          <w:tcPr>
            <w:tcW w:w="2834" w:type="dxa"/>
            <w:vMerge/>
            <w:shd w:val="clear" w:color="auto" w:fill="auto"/>
          </w:tcPr>
          <w:p w:rsidR="004361B9" w:rsidRDefault="004361B9" w:rsidP="004361B9"/>
        </w:tc>
        <w:tc>
          <w:tcPr>
            <w:tcW w:w="1544" w:type="dxa"/>
            <w:tcBorders>
              <w:bottom w:val="single" w:sz="8" w:space="0" w:color="C0C0C0"/>
            </w:tcBorders>
            <w:shd w:val="clear" w:color="auto" w:fill="auto"/>
            <w:vAlign w:val="center"/>
          </w:tcPr>
          <w:p w:rsidR="004361B9" w:rsidRDefault="004361B9" w:rsidP="004361B9">
            <w:pPr>
              <w:pStyle w:val="ECVLanguageSubHeading"/>
            </w:pPr>
            <w:r>
              <w:t>Procesarea informaţiei</w:t>
            </w:r>
          </w:p>
        </w:tc>
        <w:tc>
          <w:tcPr>
            <w:tcW w:w="1498" w:type="dxa"/>
            <w:tcBorders>
              <w:left w:val="single" w:sz="8" w:space="0" w:color="C0C0C0"/>
              <w:bottom w:val="single" w:sz="8" w:space="0" w:color="C0C0C0"/>
            </w:tcBorders>
            <w:shd w:val="clear" w:color="auto" w:fill="auto"/>
            <w:vAlign w:val="center"/>
          </w:tcPr>
          <w:p w:rsidR="004361B9" w:rsidRDefault="004361B9" w:rsidP="004361B9">
            <w:pPr>
              <w:pStyle w:val="ECVLanguageSubHeading"/>
            </w:pPr>
            <w:r>
              <w:t>Comunicare</w:t>
            </w:r>
          </w:p>
        </w:tc>
        <w:tc>
          <w:tcPr>
            <w:tcW w:w="1499" w:type="dxa"/>
            <w:tcBorders>
              <w:left w:val="single" w:sz="8" w:space="0" w:color="C0C0C0"/>
              <w:bottom w:val="single" w:sz="8" w:space="0" w:color="C0C0C0"/>
            </w:tcBorders>
            <w:shd w:val="clear" w:color="auto" w:fill="auto"/>
            <w:vAlign w:val="center"/>
          </w:tcPr>
          <w:p w:rsidR="004361B9" w:rsidRDefault="004361B9" w:rsidP="004361B9">
            <w:pPr>
              <w:pStyle w:val="ECVLanguageSubHeading"/>
            </w:pPr>
            <w:r>
              <w:t>Creare de conţinut</w:t>
            </w:r>
          </w:p>
        </w:tc>
        <w:tc>
          <w:tcPr>
            <w:tcW w:w="1500" w:type="dxa"/>
            <w:tcBorders>
              <w:left w:val="single" w:sz="8" w:space="0" w:color="C0C0C0"/>
              <w:bottom w:val="single" w:sz="8" w:space="0" w:color="C0C0C0"/>
            </w:tcBorders>
            <w:shd w:val="clear" w:color="auto" w:fill="auto"/>
            <w:vAlign w:val="center"/>
          </w:tcPr>
          <w:p w:rsidR="004361B9" w:rsidRDefault="004361B9" w:rsidP="004361B9">
            <w:pPr>
              <w:pStyle w:val="ECVLanguageSubHeading"/>
            </w:pPr>
            <w:r>
              <w:t>Securitate</w:t>
            </w:r>
          </w:p>
        </w:tc>
        <w:tc>
          <w:tcPr>
            <w:tcW w:w="1501" w:type="dxa"/>
            <w:tcBorders>
              <w:left w:val="single" w:sz="8" w:space="0" w:color="C0C0C0"/>
              <w:bottom w:val="single" w:sz="8" w:space="0" w:color="C0C0C0"/>
            </w:tcBorders>
            <w:shd w:val="clear" w:color="auto" w:fill="auto"/>
            <w:vAlign w:val="center"/>
          </w:tcPr>
          <w:p w:rsidR="004361B9" w:rsidRDefault="004361B9" w:rsidP="004361B9">
            <w:pPr>
              <w:pStyle w:val="ECVLanguageSubHeading"/>
            </w:pPr>
            <w:r>
              <w:t>Rezolvarea de probleme</w:t>
            </w:r>
          </w:p>
        </w:tc>
      </w:tr>
      <w:tr w:rsidR="004361B9" w:rsidTr="004361B9">
        <w:tblPrEx>
          <w:tblCellMar>
            <w:top w:w="113" w:type="dxa"/>
            <w:bottom w:w="113" w:type="dxa"/>
          </w:tblCellMar>
        </w:tblPrEx>
        <w:trPr>
          <w:trHeight w:val="283"/>
        </w:trPr>
        <w:tc>
          <w:tcPr>
            <w:tcW w:w="2834" w:type="dxa"/>
            <w:shd w:val="clear" w:color="auto" w:fill="auto"/>
            <w:vAlign w:val="center"/>
          </w:tcPr>
          <w:p w:rsidR="004361B9" w:rsidRDefault="004361B9" w:rsidP="004361B9"/>
        </w:tc>
        <w:tc>
          <w:tcPr>
            <w:tcW w:w="1544" w:type="dxa"/>
            <w:tcBorders>
              <w:bottom w:val="single" w:sz="4" w:space="0" w:color="C0C0C0"/>
            </w:tcBorders>
            <w:shd w:val="clear" w:color="auto" w:fill="auto"/>
            <w:vAlign w:val="center"/>
          </w:tcPr>
          <w:p w:rsidR="004361B9" w:rsidRDefault="004361B9" w:rsidP="004361B9">
            <w:pPr>
              <w:pStyle w:val="ECVLanguageLevel"/>
              <w:rPr>
                <w:caps w:val="0"/>
              </w:rPr>
            </w:pPr>
            <w:r>
              <w:rPr>
                <w:caps w:val="0"/>
              </w:rPr>
              <w:t xml:space="preserve">Utilizator experimentat </w:t>
            </w:r>
          </w:p>
        </w:tc>
        <w:tc>
          <w:tcPr>
            <w:tcW w:w="1498" w:type="dxa"/>
            <w:tcBorders>
              <w:left w:val="single" w:sz="8" w:space="0" w:color="C0C0C0"/>
              <w:bottom w:val="single" w:sz="4" w:space="0" w:color="C0C0C0"/>
            </w:tcBorders>
            <w:shd w:val="clear" w:color="auto" w:fill="auto"/>
            <w:vAlign w:val="center"/>
          </w:tcPr>
          <w:p w:rsidR="004361B9" w:rsidRDefault="004361B9" w:rsidP="004361B9">
            <w:pPr>
              <w:pStyle w:val="ECVLanguageLevel"/>
              <w:rPr>
                <w:caps w:val="0"/>
              </w:rPr>
            </w:pPr>
            <w:r>
              <w:rPr>
                <w:caps w:val="0"/>
              </w:rPr>
              <w:t>Utilizator experimentat</w:t>
            </w:r>
          </w:p>
        </w:tc>
        <w:tc>
          <w:tcPr>
            <w:tcW w:w="1499" w:type="dxa"/>
            <w:tcBorders>
              <w:left w:val="single" w:sz="8" w:space="0" w:color="C0C0C0"/>
              <w:bottom w:val="single" w:sz="4" w:space="0" w:color="C0C0C0"/>
            </w:tcBorders>
            <w:shd w:val="clear" w:color="auto" w:fill="auto"/>
            <w:vAlign w:val="center"/>
          </w:tcPr>
          <w:p w:rsidR="004361B9" w:rsidRDefault="004361B9" w:rsidP="004361B9">
            <w:pPr>
              <w:pStyle w:val="ECVLanguageLevel"/>
              <w:rPr>
                <w:caps w:val="0"/>
              </w:rPr>
            </w:pPr>
            <w:r>
              <w:rPr>
                <w:caps w:val="0"/>
              </w:rPr>
              <w:t>Utilizator experimentat</w:t>
            </w:r>
          </w:p>
        </w:tc>
        <w:tc>
          <w:tcPr>
            <w:tcW w:w="1500" w:type="dxa"/>
            <w:tcBorders>
              <w:left w:val="single" w:sz="8" w:space="0" w:color="C0C0C0"/>
              <w:bottom w:val="single" w:sz="4" w:space="0" w:color="C0C0C0"/>
            </w:tcBorders>
            <w:shd w:val="clear" w:color="auto" w:fill="auto"/>
            <w:vAlign w:val="center"/>
          </w:tcPr>
          <w:p w:rsidR="004361B9" w:rsidRDefault="004361B9" w:rsidP="004361B9">
            <w:pPr>
              <w:pStyle w:val="ECVLanguageLevel"/>
              <w:rPr>
                <w:caps w:val="0"/>
              </w:rPr>
            </w:pPr>
            <w:r>
              <w:rPr>
                <w:caps w:val="0"/>
              </w:rPr>
              <w:t>Utilizator experimentat</w:t>
            </w:r>
          </w:p>
        </w:tc>
        <w:tc>
          <w:tcPr>
            <w:tcW w:w="1501" w:type="dxa"/>
            <w:tcBorders>
              <w:left w:val="single" w:sz="8" w:space="0" w:color="C0C0C0"/>
              <w:bottom w:val="single" w:sz="4" w:space="0" w:color="C0C0C0"/>
            </w:tcBorders>
            <w:shd w:val="clear" w:color="auto" w:fill="auto"/>
            <w:vAlign w:val="center"/>
          </w:tcPr>
          <w:p w:rsidR="004361B9" w:rsidRDefault="004361B9" w:rsidP="004361B9">
            <w:pPr>
              <w:pStyle w:val="ECVLanguageLevel"/>
            </w:pPr>
            <w:r>
              <w:rPr>
                <w:caps w:val="0"/>
              </w:rPr>
              <w:t>Utilizator experimentat</w:t>
            </w:r>
          </w:p>
        </w:tc>
      </w:tr>
      <w:tr w:rsidR="004361B9" w:rsidTr="004361B9">
        <w:trPr>
          <w:cantSplit/>
          <w:trHeight w:val="344"/>
        </w:trPr>
        <w:tc>
          <w:tcPr>
            <w:tcW w:w="2834" w:type="dxa"/>
            <w:shd w:val="clear" w:color="auto" w:fill="auto"/>
          </w:tcPr>
          <w:p w:rsidR="004361B9" w:rsidRDefault="004361B9" w:rsidP="004361B9"/>
        </w:tc>
        <w:tc>
          <w:tcPr>
            <w:tcW w:w="7542" w:type="dxa"/>
            <w:gridSpan w:val="5"/>
            <w:shd w:val="clear" w:color="auto" w:fill="auto"/>
          </w:tcPr>
          <w:p w:rsidR="004361B9" w:rsidRDefault="004361B9" w:rsidP="004361B9">
            <w:pPr>
              <w:pStyle w:val="ECVLanguageExplanation"/>
            </w:pPr>
            <w:r>
              <w:t xml:space="preserve">Niveluri: Utilizator elementar  -  Utilizator independent  -  Utilizator experimentat </w:t>
            </w:r>
          </w:p>
          <w:p w:rsidR="004361B9" w:rsidRDefault="00137A2B" w:rsidP="004361B9">
            <w:pPr>
              <w:pStyle w:val="ECVLanguageExplanation"/>
            </w:pPr>
            <w:hyperlink r:id="rId8" w:history="1">
              <w:r w:rsidR="004361B9">
                <w:rPr>
                  <w:rStyle w:val="Hyperlink"/>
                </w:rPr>
                <w:t>Competențele digitale - Grilă de auto-evaluare</w:t>
              </w:r>
            </w:hyperlink>
          </w:p>
          <w:p w:rsidR="00E709A9" w:rsidRDefault="00E709A9" w:rsidP="004361B9">
            <w:pPr>
              <w:pStyle w:val="ECVLanguageExplanation"/>
            </w:pPr>
          </w:p>
        </w:tc>
      </w:tr>
      <w:tr w:rsidR="004361B9" w:rsidTr="004361B9">
        <w:trPr>
          <w:cantSplit/>
          <w:trHeight w:val="340"/>
        </w:trPr>
        <w:tc>
          <w:tcPr>
            <w:tcW w:w="2834" w:type="dxa"/>
            <w:shd w:val="clear" w:color="auto" w:fill="auto"/>
          </w:tcPr>
          <w:p w:rsidR="004361B9" w:rsidRDefault="004361B9" w:rsidP="004361B9">
            <w:pPr>
              <w:pStyle w:val="ECVLeftDetails"/>
            </w:pPr>
          </w:p>
        </w:tc>
        <w:tc>
          <w:tcPr>
            <w:tcW w:w="7542" w:type="dxa"/>
            <w:gridSpan w:val="5"/>
            <w:shd w:val="clear" w:color="auto" w:fill="auto"/>
          </w:tcPr>
          <w:p w:rsidR="004361B9" w:rsidRDefault="004361B9" w:rsidP="004361B9">
            <w:pPr>
              <w:pStyle w:val="ECVSectionBullet"/>
            </w:pPr>
            <w:r>
              <w:t>Utilizarea următoarelor soft-uri/limbaje de programare:</w:t>
            </w:r>
          </w:p>
          <w:p w:rsidR="004361B9" w:rsidRDefault="004361B9" w:rsidP="004361B9">
            <w:pPr>
              <w:pStyle w:val="ECVSectionBullet"/>
              <w:numPr>
                <w:ilvl w:val="0"/>
                <w:numId w:val="2"/>
              </w:numPr>
            </w:pPr>
            <w:r>
              <w:t>Pachet Microsoft Office (Word, Excel, PowerPoint)</w:t>
            </w:r>
          </w:p>
          <w:p w:rsidR="004361B9" w:rsidRDefault="004361B9" w:rsidP="004361B9">
            <w:pPr>
              <w:pStyle w:val="ECVSectionBullet"/>
              <w:numPr>
                <w:ilvl w:val="0"/>
                <w:numId w:val="2"/>
              </w:numPr>
            </w:pPr>
            <w:r>
              <w:t>Pachet Adobe (Illustrator, Photoshop, InDesign, Premiere Pro)</w:t>
            </w:r>
          </w:p>
          <w:p w:rsidR="004361B9" w:rsidRDefault="004361B9" w:rsidP="004361B9">
            <w:pPr>
              <w:pStyle w:val="ECVSectionBullet"/>
              <w:numPr>
                <w:ilvl w:val="0"/>
                <w:numId w:val="2"/>
              </w:numPr>
            </w:pPr>
            <w:r>
              <w:t>Wordpress, Elementor</w:t>
            </w:r>
          </w:p>
          <w:p w:rsidR="004361B9" w:rsidRDefault="004361B9" w:rsidP="004361B9">
            <w:pPr>
              <w:pStyle w:val="ECVSectionBullet"/>
              <w:numPr>
                <w:ilvl w:val="0"/>
                <w:numId w:val="2"/>
              </w:numPr>
            </w:pPr>
            <w:r>
              <w:t>R, Linux, C</w:t>
            </w:r>
          </w:p>
          <w:p w:rsidR="004361B9" w:rsidRDefault="004361B9" w:rsidP="004361B9">
            <w:pPr>
              <w:pStyle w:val="ECVSectionBullet"/>
              <w:ind w:left="113"/>
            </w:pPr>
          </w:p>
        </w:tc>
      </w:tr>
      <w:tr w:rsidR="004361B9" w:rsidTr="004361B9">
        <w:trPr>
          <w:cantSplit/>
          <w:trHeight w:val="340"/>
        </w:trPr>
        <w:tc>
          <w:tcPr>
            <w:tcW w:w="2834" w:type="dxa"/>
            <w:shd w:val="clear" w:color="auto" w:fill="auto"/>
          </w:tcPr>
          <w:p w:rsidR="004361B9" w:rsidRDefault="004361B9" w:rsidP="004361B9">
            <w:pPr>
              <w:pStyle w:val="ECVLeftDetails"/>
            </w:pPr>
            <w:r>
              <w:t xml:space="preserve">Permis de conducere </w:t>
            </w:r>
          </w:p>
        </w:tc>
        <w:tc>
          <w:tcPr>
            <w:tcW w:w="7542" w:type="dxa"/>
            <w:gridSpan w:val="5"/>
            <w:shd w:val="clear" w:color="auto" w:fill="auto"/>
          </w:tcPr>
          <w:p w:rsidR="004361B9" w:rsidRDefault="004361B9" w:rsidP="004361B9">
            <w:pPr>
              <w:pStyle w:val="ECVSectionDetails"/>
            </w:pPr>
            <w:r>
              <w:t>B</w:t>
            </w:r>
          </w:p>
        </w:tc>
      </w:tr>
    </w:tbl>
    <w:p w:rsidR="008C16D4" w:rsidRDefault="008C16D4">
      <w:pPr>
        <w:pStyle w:val="ECVComments"/>
      </w:pPr>
      <w:r>
        <w:t xml:space="preserve"> </w:t>
      </w: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8C16D4">
        <w:trPr>
          <w:cantSplit/>
          <w:trHeight w:val="255"/>
        </w:trPr>
        <w:tc>
          <w:tcPr>
            <w:tcW w:w="2834" w:type="dxa"/>
            <w:shd w:val="clear" w:color="auto" w:fill="auto"/>
          </w:tcPr>
          <w:p w:rsidR="008C16D4" w:rsidRDefault="008C16D4">
            <w:pPr>
              <w:pStyle w:val="ECVLeftDetails"/>
            </w:pPr>
            <w:r>
              <w:t>Limba(i) maternă(e)</w:t>
            </w:r>
          </w:p>
        </w:tc>
        <w:tc>
          <w:tcPr>
            <w:tcW w:w="7542" w:type="dxa"/>
            <w:gridSpan w:val="5"/>
            <w:shd w:val="clear" w:color="auto" w:fill="auto"/>
          </w:tcPr>
          <w:p w:rsidR="008C16D4" w:rsidRDefault="004F49B4">
            <w:pPr>
              <w:pStyle w:val="ECVSectionDetails"/>
            </w:pPr>
            <w:r>
              <w:t>română</w:t>
            </w:r>
            <w:r w:rsidR="008C16D4">
              <w:t xml:space="preserve"> </w:t>
            </w:r>
          </w:p>
        </w:tc>
      </w:tr>
      <w:tr w:rsidR="008C16D4">
        <w:trPr>
          <w:cantSplit/>
          <w:trHeight w:val="340"/>
        </w:trPr>
        <w:tc>
          <w:tcPr>
            <w:tcW w:w="2834" w:type="dxa"/>
            <w:shd w:val="clear" w:color="auto" w:fill="auto"/>
          </w:tcPr>
          <w:p w:rsidR="008C16D4" w:rsidRDefault="008C16D4">
            <w:pPr>
              <w:pStyle w:val="ECVLeftHeading"/>
            </w:pPr>
          </w:p>
        </w:tc>
        <w:tc>
          <w:tcPr>
            <w:tcW w:w="7542" w:type="dxa"/>
            <w:gridSpan w:val="5"/>
            <w:shd w:val="clear" w:color="auto" w:fill="auto"/>
          </w:tcPr>
          <w:p w:rsidR="008C16D4" w:rsidRDefault="008C16D4">
            <w:pPr>
              <w:pStyle w:val="ECVRightColumn"/>
            </w:pPr>
          </w:p>
        </w:tc>
      </w:tr>
      <w:tr w:rsidR="008C16D4">
        <w:trPr>
          <w:cantSplit/>
          <w:trHeight w:val="340"/>
        </w:trPr>
        <w:tc>
          <w:tcPr>
            <w:tcW w:w="2834" w:type="dxa"/>
            <w:vMerge w:val="restart"/>
            <w:shd w:val="clear" w:color="auto" w:fill="auto"/>
          </w:tcPr>
          <w:p w:rsidR="008C16D4" w:rsidRDefault="008C16D4">
            <w:pPr>
              <w:pStyle w:val="ECVLeftDetails"/>
              <w:rPr>
                <w:caps/>
              </w:rPr>
            </w:pPr>
            <w:r>
              <w:t>Alte limbi străine cunoscute</w:t>
            </w:r>
          </w:p>
        </w:tc>
        <w:tc>
          <w:tcPr>
            <w:tcW w:w="3042" w:type="dxa"/>
            <w:gridSpan w:val="2"/>
            <w:tcBorders>
              <w:top w:val="single" w:sz="8" w:space="0" w:color="C0C0C0"/>
              <w:bottom w:val="single" w:sz="8" w:space="0" w:color="C0C0C0"/>
            </w:tcBorders>
            <w:shd w:val="clear" w:color="auto" w:fill="auto"/>
            <w:vAlign w:val="center"/>
          </w:tcPr>
          <w:p w:rsidR="008C16D4" w:rsidRDefault="008C16D4">
            <w:pPr>
              <w:pStyle w:val="ECVLanguageHeading"/>
            </w:pPr>
            <w: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rsidR="008C16D4" w:rsidRDefault="008C16D4">
            <w:pPr>
              <w:pStyle w:val="ECVLanguageHeading"/>
            </w:pPr>
            <w:r>
              <w:t xml:space="preserve">VORBIRE </w:t>
            </w:r>
          </w:p>
        </w:tc>
        <w:tc>
          <w:tcPr>
            <w:tcW w:w="1501" w:type="dxa"/>
            <w:tcBorders>
              <w:top w:val="single" w:sz="8" w:space="0" w:color="C0C0C0"/>
              <w:left w:val="single" w:sz="8" w:space="0" w:color="C0C0C0"/>
              <w:bottom w:val="single" w:sz="8" w:space="0" w:color="C0C0C0"/>
            </w:tcBorders>
            <w:shd w:val="clear" w:color="auto" w:fill="auto"/>
            <w:vAlign w:val="center"/>
          </w:tcPr>
          <w:p w:rsidR="008C16D4" w:rsidRDefault="008C16D4">
            <w:pPr>
              <w:pStyle w:val="ECVLanguageHeading"/>
            </w:pPr>
            <w:r>
              <w:t xml:space="preserve">SCRIERE </w:t>
            </w:r>
          </w:p>
        </w:tc>
      </w:tr>
      <w:tr w:rsidR="008C16D4">
        <w:trPr>
          <w:cantSplit/>
          <w:trHeight w:val="340"/>
        </w:trPr>
        <w:tc>
          <w:tcPr>
            <w:tcW w:w="2834" w:type="dxa"/>
            <w:vMerge/>
            <w:shd w:val="clear" w:color="auto" w:fill="auto"/>
          </w:tcPr>
          <w:p w:rsidR="008C16D4" w:rsidRDefault="008C16D4"/>
        </w:tc>
        <w:tc>
          <w:tcPr>
            <w:tcW w:w="1544" w:type="dxa"/>
            <w:tcBorders>
              <w:bottom w:val="single" w:sz="8" w:space="0" w:color="C0C0C0"/>
            </w:tcBorders>
            <w:shd w:val="clear" w:color="auto" w:fill="auto"/>
            <w:vAlign w:val="center"/>
          </w:tcPr>
          <w:p w:rsidR="008C16D4" w:rsidRDefault="008C16D4">
            <w:pPr>
              <w:pStyle w:val="ECVLanguageSubHeading"/>
            </w:pPr>
            <w:r>
              <w:t xml:space="preserve">Ascultare </w:t>
            </w:r>
          </w:p>
        </w:tc>
        <w:tc>
          <w:tcPr>
            <w:tcW w:w="1498" w:type="dxa"/>
            <w:tcBorders>
              <w:left w:val="single" w:sz="8" w:space="0" w:color="C0C0C0"/>
              <w:bottom w:val="single" w:sz="8" w:space="0" w:color="C0C0C0"/>
            </w:tcBorders>
            <w:shd w:val="clear" w:color="auto" w:fill="auto"/>
            <w:vAlign w:val="center"/>
          </w:tcPr>
          <w:p w:rsidR="008C16D4" w:rsidRDefault="008C16D4">
            <w:pPr>
              <w:pStyle w:val="ECVLanguageSubHeading"/>
            </w:pPr>
            <w:r>
              <w:t xml:space="preserve">Citire </w:t>
            </w:r>
          </w:p>
        </w:tc>
        <w:tc>
          <w:tcPr>
            <w:tcW w:w="1499" w:type="dxa"/>
            <w:tcBorders>
              <w:left w:val="single" w:sz="8" w:space="0" w:color="C0C0C0"/>
              <w:bottom w:val="single" w:sz="8" w:space="0" w:color="C0C0C0"/>
            </w:tcBorders>
            <w:shd w:val="clear" w:color="auto" w:fill="auto"/>
            <w:vAlign w:val="center"/>
          </w:tcPr>
          <w:p w:rsidR="008C16D4" w:rsidRDefault="008C16D4">
            <w:pPr>
              <w:pStyle w:val="ECVLanguageSubHeading"/>
            </w:pPr>
            <w:r>
              <w:t xml:space="preserve">Participare la conversaţie </w:t>
            </w:r>
          </w:p>
        </w:tc>
        <w:tc>
          <w:tcPr>
            <w:tcW w:w="1500" w:type="dxa"/>
            <w:tcBorders>
              <w:left w:val="single" w:sz="8" w:space="0" w:color="C0C0C0"/>
              <w:bottom w:val="single" w:sz="8" w:space="0" w:color="C0C0C0"/>
            </w:tcBorders>
            <w:shd w:val="clear" w:color="auto" w:fill="auto"/>
            <w:vAlign w:val="center"/>
          </w:tcPr>
          <w:p w:rsidR="008C16D4" w:rsidRDefault="008C16D4">
            <w:pPr>
              <w:pStyle w:val="ECVLanguageSubHeading"/>
            </w:pPr>
            <w:r>
              <w:t xml:space="preserve">Discurs oral </w:t>
            </w:r>
          </w:p>
        </w:tc>
        <w:tc>
          <w:tcPr>
            <w:tcW w:w="1501" w:type="dxa"/>
            <w:tcBorders>
              <w:left w:val="single" w:sz="8" w:space="0" w:color="C0C0C0"/>
              <w:bottom w:val="single" w:sz="8" w:space="0" w:color="C0C0C0"/>
            </w:tcBorders>
            <w:shd w:val="clear" w:color="auto" w:fill="auto"/>
            <w:vAlign w:val="center"/>
          </w:tcPr>
          <w:p w:rsidR="008C16D4" w:rsidRDefault="008C16D4">
            <w:pPr>
              <w:pStyle w:val="ECVRightColumn"/>
            </w:pPr>
          </w:p>
        </w:tc>
      </w:tr>
      <w:tr w:rsidR="008C16D4">
        <w:trPr>
          <w:cantSplit/>
          <w:trHeight w:val="283"/>
        </w:trPr>
        <w:tc>
          <w:tcPr>
            <w:tcW w:w="2834" w:type="dxa"/>
            <w:shd w:val="clear" w:color="auto" w:fill="auto"/>
            <w:vAlign w:val="center"/>
          </w:tcPr>
          <w:p w:rsidR="008C16D4" w:rsidRDefault="004F49B4">
            <w:pPr>
              <w:pStyle w:val="ECVLanguageName"/>
            </w:pPr>
            <w:r>
              <w:t>Engleză</w:t>
            </w:r>
          </w:p>
        </w:tc>
        <w:tc>
          <w:tcPr>
            <w:tcW w:w="1544" w:type="dxa"/>
            <w:tcBorders>
              <w:bottom w:val="single" w:sz="4" w:space="0" w:color="C0C0C0"/>
            </w:tcBorders>
            <w:shd w:val="clear" w:color="auto" w:fill="auto"/>
            <w:vAlign w:val="center"/>
          </w:tcPr>
          <w:p w:rsidR="008C16D4" w:rsidRDefault="004F49B4">
            <w:pPr>
              <w:pStyle w:val="ECVLanguageLevel"/>
              <w:rPr>
                <w:caps w:val="0"/>
              </w:rPr>
            </w:pPr>
            <w:r>
              <w:rPr>
                <w:caps w:val="0"/>
              </w:rPr>
              <w:t>C1</w:t>
            </w:r>
          </w:p>
        </w:tc>
        <w:tc>
          <w:tcPr>
            <w:tcW w:w="1498" w:type="dxa"/>
            <w:tcBorders>
              <w:bottom w:val="single" w:sz="4" w:space="0" w:color="C0C0C0"/>
            </w:tcBorders>
            <w:shd w:val="clear" w:color="auto" w:fill="auto"/>
            <w:vAlign w:val="center"/>
          </w:tcPr>
          <w:p w:rsidR="008C16D4" w:rsidRDefault="004F49B4">
            <w:pPr>
              <w:pStyle w:val="ECVLanguageLevel"/>
              <w:rPr>
                <w:caps w:val="0"/>
              </w:rPr>
            </w:pPr>
            <w:r>
              <w:rPr>
                <w:caps w:val="0"/>
              </w:rPr>
              <w:t>C1</w:t>
            </w:r>
          </w:p>
        </w:tc>
        <w:tc>
          <w:tcPr>
            <w:tcW w:w="1499" w:type="dxa"/>
            <w:tcBorders>
              <w:bottom w:val="single" w:sz="4" w:space="0" w:color="C0C0C0"/>
            </w:tcBorders>
            <w:shd w:val="clear" w:color="auto" w:fill="auto"/>
            <w:vAlign w:val="center"/>
          </w:tcPr>
          <w:p w:rsidR="008C16D4" w:rsidRDefault="004F49B4">
            <w:pPr>
              <w:pStyle w:val="ECVLanguageLevel"/>
              <w:rPr>
                <w:caps w:val="0"/>
              </w:rPr>
            </w:pPr>
            <w:r>
              <w:rPr>
                <w:caps w:val="0"/>
              </w:rPr>
              <w:t>C1</w:t>
            </w:r>
          </w:p>
        </w:tc>
        <w:tc>
          <w:tcPr>
            <w:tcW w:w="1500" w:type="dxa"/>
            <w:tcBorders>
              <w:bottom w:val="single" w:sz="4" w:space="0" w:color="C0C0C0"/>
            </w:tcBorders>
            <w:shd w:val="clear" w:color="auto" w:fill="auto"/>
            <w:vAlign w:val="center"/>
          </w:tcPr>
          <w:p w:rsidR="008C16D4" w:rsidRDefault="004F49B4">
            <w:pPr>
              <w:pStyle w:val="ECVLanguageLevel"/>
              <w:rPr>
                <w:caps w:val="0"/>
              </w:rPr>
            </w:pPr>
            <w:r>
              <w:rPr>
                <w:caps w:val="0"/>
              </w:rPr>
              <w:t>C1</w:t>
            </w:r>
          </w:p>
        </w:tc>
        <w:tc>
          <w:tcPr>
            <w:tcW w:w="1501" w:type="dxa"/>
            <w:tcBorders>
              <w:bottom w:val="single" w:sz="4" w:space="0" w:color="C0C0C0"/>
            </w:tcBorders>
            <w:shd w:val="clear" w:color="auto" w:fill="auto"/>
            <w:vAlign w:val="center"/>
          </w:tcPr>
          <w:p w:rsidR="008C16D4" w:rsidRDefault="004F49B4">
            <w:pPr>
              <w:pStyle w:val="ECVLanguageLevel"/>
            </w:pPr>
            <w:r>
              <w:t>C1</w:t>
            </w:r>
          </w:p>
        </w:tc>
      </w:tr>
      <w:tr w:rsidR="008C16D4">
        <w:trPr>
          <w:cantSplit/>
          <w:trHeight w:val="283"/>
        </w:trPr>
        <w:tc>
          <w:tcPr>
            <w:tcW w:w="2834" w:type="dxa"/>
            <w:shd w:val="clear" w:color="auto" w:fill="auto"/>
            <w:vAlign w:val="center"/>
          </w:tcPr>
          <w:p w:rsidR="008C16D4" w:rsidRDefault="004F49B4">
            <w:pPr>
              <w:pStyle w:val="ECVLanguageName"/>
            </w:pPr>
            <w:r>
              <w:t>Franceză</w:t>
            </w:r>
          </w:p>
        </w:tc>
        <w:tc>
          <w:tcPr>
            <w:tcW w:w="1544" w:type="dxa"/>
            <w:tcBorders>
              <w:bottom w:val="single" w:sz="4" w:space="0" w:color="C0C0C0"/>
            </w:tcBorders>
            <w:shd w:val="clear" w:color="auto" w:fill="auto"/>
            <w:vAlign w:val="center"/>
          </w:tcPr>
          <w:p w:rsidR="008C16D4" w:rsidRDefault="004F49B4">
            <w:pPr>
              <w:pStyle w:val="ECVLanguageLevel"/>
              <w:rPr>
                <w:caps w:val="0"/>
              </w:rPr>
            </w:pPr>
            <w:r>
              <w:rPr>
                <w:caps w:val="0"/>
              </w:rPr>
              <w:t>A2</w:t>
            </w:r>
          </w:p>
        </w:tc>
        <w:tc>
          <w:tcPr>
            <w:tcW w:w="1498" w:type="dxa"/>
            <w:tcBorders>
              <w:bottom w:val="single" w:sz="4" w:space="0" w:color="C0C0C0"/>
            </w:tcBorders>
            <w:shd w:val="clear" w:color="auto" w:fill="auto"/>
            <w:vAlign w:val="center"/>
          </w:tcPr>
          <w:p w:rsidR="008C16D4" w:rsidRDefault="004F49B4">
            <w:pPr>
              <w:pStyle w:val="ECVLanguageLevel"/>
              <w:rPr>
                <w:caps w:val="0"/>
              </w:rPr>
            </w:pPr>
            <w:r>
              <w:rPr>
                <w:caps w:val="0"/>
              </w:rPr>
              <w:t>A2</w:t>
            </w:r>
          </w:p>
        </w:tc>
        <w:tc>
          <w:tcPr>
            <w:tcW w:w="1499" w:type="dxa"/>
            <w:tcBorders>
              <w:bottom w:val="single" w:sz="4" w:space="0" w:color="C0C0C0"/>
            </w:tcBorders>
            <w:shd w:val="clear" w:color="auto" w:fill="auto"/>
            <w:vAlign w:val="center"/>
          </w:tcPr>
          <w:p w:rsidR="008C16D4" w:rsidRDefault="004F49B4">
            <w:pPr>
              <w:pStyle w:val="ECVLanguageLevel"/>
              <w:rPr>
                <w:caps w:val="0"/>
              </w:rPr>
            </w:pPr>
            <w:r>
              <w:rPr>
                <w:caps w:val="0"/>
              </w:rPr>
              <w:t>A2</w:t>
            </w:r>
          </w:p>
        </w:tc>
        <w:tc>
          <w:tcPr>
            <w:tcW w:w="1500" w:type="dxa"/>
            <w:tcBorders>
              <w:bottom w:val="single" w:sz="4" w:space="0" w:color="C0C0C0"/>
            </w:tcBorders>
            <w:shd w:val="clear" w:color="auto" w:fill="auto"/>
            <w:vAlign w:val="center"/>
          </w:tcPr>
          <w:p w:rsidR="008C16D4" w:rsidRDefault="004F49B4">
            <w:pPr>
              <w:pStyle w:val="ECVLanguageLevel"/>
              <w:rPr>
                <w:caps w:val="0"/>
              </w:rPr>
            </w:pPr>
            <w:r>
              <w:rPr>
                <w:caps w:val="0"/>
              </w:rPr>
              <w:t>A2</w:t>
            </w:r>
          </w:p>
        </w:tc>
        <w:tc>
          <w:tcPr>
            <w:tcW w:w="1501" w:type="dxa"/>
            <w:tcBorders>
              <w:bottom w:val="single" w:sz="4" w:space="0" w:color="C0C0C0"/>
            </w:tcBorders>
            <w:shd w:val="clear" w:color="auto" w:fill="auto"/>
            <w:vAlign w:val="center"/>
          </w:tcPr>
          <w:p w:rsidR="008C16D4" w:rsidRDefault="004F49B4">
            <w:pPr>
              <w:pStyle w:val="ECVLanguageLevel"/>
            </w:pPr>
            <w:r>
              <w:t>A2</w:t>
            </w:r>
          </w:p>
        </w:tc>
      </w:tr>
      <w:tr w:rsidR="008C16D4">
        <w:trPr>
          <w:cantSplit/>
          <w:trHeight w:val="397"/>
        </w:trPr>
        <w:tc>
          <w:tcPr>
            <w:tcW w:w="2834" w:type="dxa"/>
            <w:shd w:val="clear" w:color="auto" w:fill="auto"/>
          </w:tcPr>
          <w:p w:rsidR="008C16D4" w:rsidRDefault="008C16D4"/>
        </w:tc>
        <w:tc>
          <w:tcPr>
            <w:tcW w:w="7542" w:type="dxa"/>
            <w:gridSpan w:val="5"/>
            <w:shd w:val="clear" w:color="auto" w:fill="auto"/>
            <w:vAlign w:val="bottom"/>
          </w:tcPr>
          <w:p w:rsidR="008C16D4" w:rsidRDefault="008C16D4">
            <w:pPr>
              <w:pStyle w:val="ECVLanguageExplanation"/>
            </w:pPr>
            <w:r>
              <w:t xml:space="preserve">Niveluri: A1/A2: Utilizator elementar  -  B1/B2: Utilizator independent  -  C1/C2: Utilizator experimentat </w:t>
            </w:r>
          </w:p>
          <w:p w:rsidR="008C16D4" w:rsidRDefault="00137A2B">
            <w:pPr>
              <w:pStyle w:val="ECVLanguageExplanation"/>
            </w:pPr>
            <w:hyperlink r:id="rId9" w:history="1">
              <w:r w:rsidR="008C16D4">
                <w:rPr>
                  <w:rStyle w:val="Hyperlink"/>
                </w:rPr>
                <w:t>Cadrul european comun de referinţă pentru limbi străine</w:t>
              </w:r>
            </w:hyperlink>
            <w:r w:rsidR="008C16D4">
              <w:t xml:space="preserve"> </w:t>
            </w:r>
          </w:p>
        </w:tc>
      </w:tr>
    </w:tbl>
    <w:p w:rsidR="008C16D4" w:rsidRDefault="008C16D4">
      <w:pPr>
        <w:pStyle w:val="ECVText"/>
      </w:pPr>
    </w:p>
    <w:p w:rsidR="008C16D4" w:rsidRDefault="008C16D4">
      <w:pPr>
        <w:pStyle w:val="ECVText"/>
      </w:pPr>
    </w:p>
    <w:p w:rsidR="00E709A9" w:rsidRDefault="00E709A9">
      <w:pPr>
        <w:pStyle w:val="ECVText"/>
      </w:pPr>
    </w:p>
    <w:p w:rsidR="00E709A9" w:rsidRDefault="00E709A9">
      <w:pPr>
        <w:pStyle w:val="ECVText"/>
      </w:pPr>
    </w:p>
    <w:p w:rsidR="00E709A9" w:rsidRDefault="00E709A9">
      <w:pPr>
        <w:pStyle w:val="ECVText"/>
      </w:pPr>
    </w:p>
    <w:p w:rsidR="00E709A9" w:rsidRDefault="00E709A9">
      <w:pPr>
        <w:pStyle w:val="ECVText"/>
      </w:pPr>
    </w:p>
    <w:p w:rsidR="00E709A9" w:rsidRDefault="00E709A9">
      <w:pPr>
        <w:pStyle w:val="ECVText"/>
      </w:pPr>
    </w:p>
    <w:p w:rsidR="00E709A9" w:rsidRDefault="00E709A9">
      <w:pPr>
        <w:pStyle w:val="ECVText"/>
      </w:pPr>
    </w:p>
    <w:p w:rsidR="00E709A9" w:rsidRDefault="00E709A9">
      <w:pPr>
        <w:pStyle w:val="ECVText"/>
      </w:pPr>
    </w:p>
    <w:p w:rsidR="00E709A9" w:rsidRDefault="00E709A9">
      <w:pPr>
        <w:pStyle w:val="ECVText"/>
      </w:pPr>
    </w:p>
    <w:p w:rsidR="00E709A9" w:rsidRDefault="00E709A9">
      <w:pPr>
        <w:pStyle w:val="ECVText"/>
      </w:pPr>
    </w:p>
    <w:p w:rsidR="00CD4D9E" w:rsidRDefault="00CD4D9E">
      <w:pPr>
        <w:pStyle w:val="ECVText"/>
      </w:pPr>
    </w:p>
    <w:p w:rsidR="00CD4D9E" w:rsidRDefault="00CD4D9E">
      <w:pPr>
        <w:pStyle w:val="ECVText"/>
      </w:pPr>
    </w:p>
    <w:tbl>
      <w:tblPr>
        <w:tblpPr w:leftFromText="180" w:rightFromText="180" w:vertAnchor="text" w:horzAnchor="margin" w:tblpY="81"/>
        <w:tblOverlap w:val="never"/>
        <w:tblW w:w="10375" w:type="dxa"/>
        <w:tblLayout w:type="fixed"/>
        <w:tblCellMar>
          <w:left w:w="0" w:type="dxa"/>
          <w:right w:w="0" w:type="dxa"/>
        </w:tblCellMar>
        <w:tblLook w:val="0000" w:firstRow="0" w:lastRow="0" w:firstColumn="0" w:lastColumn="0" w:noHBand="0" w:noVBand="0"/>
      </w:tblPr>
      <w:tblGrid>
        <w:gridCol w:w="2835"/>
        <w:gridCol w:w="7540"/>
      </w:tblGrid>
      <w:tr w:rsidR="00E709A9" w:rsidTr="00E709A9">
        <w:trPr>
          <w:cantSplit/>
          <w:trHeight w:val="170"/>
        </w:trPr>
        <w:tc>
          <w:tcPr>
            <w:tcW w:w="2835" w:type="dxa"/>
            <w:shd w:val="clear" w:color="auto" w:fill="auto"/>
          </w:tcPr>
          <w:p w:rsidR="00E709A9" w:rsidRDefault="00E709A9" w:rsidP="00E709A9">
            <w:pPr>
              <w:pStyle w:val="ECVLeftHeading"/>
            </w:pPr>
            <w:r>
              <w:rPr>
                <w:caps w:val="0"/>
              </w:rPr>
              <w:t>INFORMAΤII SUPLIMENTARE</w:t>
            </w:r>
          </w:p>
        </w:tc>
        <w:tc>
          <w:tcPr>
            <w:tcW w:w="7540" w:type="dxa"/>
            <w:shd w:val="clear" w:color="auto" w:fill="auto"/>
            <w:vAlign w:val="bottom"/>
          </w:tcPr>
          <w:p w:rsidR="00E709A9" w:rsidRDefault="00E709A9" w:rsidP="00E709A9">
            <w:pPr>
              <w:pStyle w:val="ECVBlueBox"/>
            </w:pPr>
            <w:r>
              <w:rPr>
                <w:noProof/>
                <w:lang w:val="en-US" w:eastAsia="en-US" w:bidi="ar-SA"/>
              </w:rPr>
              <w:drawing>
                <wp:inline distT="0" distB="0" distL="0" distR="0" wp14:anchorId="39648CE6" wp14:editId="617E18DD">
                  <wp:extent cx="4791075" cy="90170"/>
                  <wp:effectExtent l="0" t="0" r="0" b="0"/>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90170"/>
                          </a:xfrm>
                          <a:prstGeom prst="rect">
                            <a:avLst/>
                          </a:prstGeom>
                          <a:solidFill>
                            <a:srgbClr val="FFFFFF"/>
                          </a:solidFill>
                          <a:ln>
                            <a:noFill/>
                          </a:ln>
                        </pic:spPr>
                      </pic:pic>
                    </a:graphicData>
                  </a:graphic>
                </wp:inline>
              </w:drawing>
            </w:r>
            <w:r>
              <w:t xml:space="preserve"> </w:t>
            </w:r>
          </w:p>
        </w:tc>
      </w:tr>
    </w:tbl>
    <w:p w:rsidR="00E709A9" w:rsidRDefault="00E709A9">
      <w:pPr>
        <w:pStyle w:val="ECVText"/>
      </w:pPr>
    </w:p>
    <w:p w:rsidR="00E709A9" w:rsidRDefault="00E709A9" w:rsidP="00E709A9">
      <w:pPr>
        <w:pStyle w:val="ECVLeftDetails"/>
        <w:jc w:val="left"/>
      </w:pPr>
      <w:r>
        <w:lastRenderedPageBreak/>
        <w:t>Publicaţii</w:t>
      </w:r>
    </w:p>
    <w:p w:rsidR="00E709A9" w:rsidRDefault="00E709A9" w:rsidP="00E709A9">
      <w:pPr>
        <w:pStyle w:val="ListParagraph"/>
        <w:numPr>
          <w:ilvl w:val="0"/>
          <w:numId w:val="3"/>
        </w:numPr>
        <w:jc w:val="both"/>
      </w:pPr>
      <w:r w:rsidRPr="00EE4D5A">
        <w:t>Adina Iuliana Milcu</w:t>
      </w:r>
      <w:r>
        <w:t>,</w:t>
      </w:r>
      <w:r w:rsidRPr="00EE4D5A">
        <w:t xml:space="preserve"> Flavia Medana Anghel</w:t>
      </w:r>
      <w:r>
        <w:t>,</w:t>
      </w:r>
      <w:r w:rsidRPr="00EE4D5A">
        <w:t xml:space="preserve"> </w:t>
      </w:r>
      <w:r w:rsidRPr="00EE4D5A">
        <w:rPr>
          <w:b/>
          <w:bCs/>
        </w:rPr>
        <w:t>Mirabela Romanescu</w:t>
      </w:r>
      <w:r>
        <w:rPr>
          <w:b/>
          <w:bCs/>
        </w:rPr>
        <w:t>*</w:t>
      </w:r>
      <w:r>
        <w:t>,</w:t>
      </w:r>
      <w:r w:rsidRPr="00EE4D5A">
        <w:t xml:space="preserve"> Aimee Rodica Chis</w:t>
      </w:r>
      <w:r>
        <w:t>,</w:t>
      </w:r>
      <w:r w:rsidRPr="00EE4D5A">
        <w:t xml:space="preserve"> Andrei Anghel</w:t>
      </w:r>
      <w:r>
        <w:t>,</w:t>
      </w:r>
      <w:r w:rsidRPr="00EE4D5A">
        <w:t xml:space="preserve"> Ovidiu Boruga</w:t>
      </w:r>
      <w:r>
        <w:t xml:space="preserve">. </w:t>
      </w:r>
      <w:r w:rsidRPr="00EE4D5A">
        <w:t>Plasma miR-19b, miR-34a and miR-146a expression in patients with type 2 diabetes mellitus and cataract: A pilot study. Biomol</w:t>
      </w:r>
      <w:r>
        <w:t>ecules and</w:t>
      </w:r>
      <w:r w:rsidRPr="00EE4D5A">
        <w:t xml:space="preserve"> Biomed</w:t>
      </w:r>
      <w:r>
        <w:t>icine</w:t>
      </w:r>
      <w:r w:rsidRPr="00EE4D5A">
        <w:t xml:space="preserve">. </w:t>
      </w:r>
      <w:r>
        <w:t xml:space="preserve">ISSN/eISSN </w:t>
      </w:r>
      <w:r w:rsidRPr="00EE4D5A">
        <w:t>2831-0896 / 2831-090X</w:t>
      </w:r>
      <w:r>
        <w:t xml:space="preserve">. Published </w:t>
      </w:r>
      <w:r w:rsidRPr="00EE4D5A">
        <w:t>28</w:t>
      </w:r>
      <w:r>
        <w:t xml:space="preserve"> November </w:t>
      </w:r>
      <w:r w:rsidRPr="00EE4D5A">
        <w:t>2023</w:t>
      </w:r>
      <w:r>
        <w:t xml:space="preserve">. DOI: </w:t>
      </w:r>
      <w:r w:rsidRPr="00EE4D5A">
        <w:t>10.17305/bb.2023.9933</w:t>
      </w:r>
      <w:r>
        <w:t>. IF 3.4 Q3.</w:t>
      </w:r>
    </w:p>
    <w:p w:rsidR="00E709A9" w:rsidRDefault="00E709A9" w:rsidP="00E709A9">
      <w:pPr>
        <w:pStyle w:val="ListParagraph"/>
        <w:numPr>
          <w:ilvl w:val="0"/>
          <w:numId w:val="3"/>
        </w:numPr>
        <w:jc w:val="both"/>
      </w:pPr>
      <w:r w:rsidRPr="00EE4D5A">
        <w:t>Alexandra Ioana Moatar</w:t>
      </w:r>
      <w:r>
        <w:t>,</w:t>
      </w:r>
      <w:r w:rsidRPr="00EE4D5A">
        <w:t xml:space="preserve"> Aimee Rodica Chis</w:t>
      </w:r>
      <w:r>
        <w:t>,</w:t>
      </w:r>
      <w:r w:rsidRPr="00EE4D5A">
        <w:t xml:space="preserve"> </w:t>
      </w:r>
      <w:r w:rsidRPr="00EE4D5A">
        <w:rPr>
          <w:b/>
          <w:bCs/>
        </w:rPr>
        <w:t>Mirabela Romanescu</w:t>
      </w:r>
      <w:r>
        <w:t>,</w:t>
      </w:r>
      <w:r w:rsidRPr="00EE4D5A">
        <w:t xml:space="preserve"> Paula-Diana Ciordas</w:t>
      </w:r>
      <w:r>
        <w:t>,</w:t>
      </w:r>
      <w:r w:rsidRPr="00EE4D5A">
        <w:t xml:space="preserve"> Diana Nitusca</w:t>
      </w:r>
      <w:r>
        <w:t>,</w:t>
      </w:r>
      <w:r w:rsidRPr="00EE4D5A">
        <w:t xml:space="preserve"> Catalin Marian</w:t>
      </w:r>
      <w:r>
        <w:t>,</w:t>
      </w:r>
      <w:r w:rsidRPr="00EE4D5A">
        <w:t xml:space="preserve"> Cristian Oancea</w:t>
      </w:r>
      <w:r>
        <w:t>,</w:t>
      </w:r>
      <w:r w:rsidRPr="00EE4D5A">
        <w:t xml:space="preserve"> Ioan-Ovidiu Sirbu</w:t>
      </w:r>
      <w:r>
        <w:t>.</w:t>
      </w:r>
      <w:r w:rsidRPr="00EE4D5A">
        <w:t xml:space="preserve"> Plasma miR-195-5p predicts the severity of Covid-19 in hospitalized patients. Sci</w:t>
      </w:r>
      <w:r>
        <w:t>entific</w:t>
      </w:r>
      <w:r w:rsidRPr="00EE4D5A">
        <w:t xml:space="preserve"> Rep</w:t>
      </w:r>
      <w:r>
        <w:t>orts</w:t>
      </w:r>
      <w:r w:rsidRPr="00EE4D5A">
        <w:t xml:space="preserve">. 2023;13(1):13806. </w:t>
      </w:r>
      <w:r>
        <w:t xml:space="preserve">ISSN/eISSN 2045-2322. Published </w:t>
      </w:r>
      <w:r w:rsidRPr="00EE4D5A">
        <w:t>23</w:t>
      </w:r>
      <w:r>
        <w:t xml:space="preserve"> August </w:t>
      </w:r>
      <w:r w:rsidRPr="00EE4D5A">
        <w:t>2023</w:t>
      </w:r>
      <w:r>
        <w:t xml:space="preserve">. DOI: </w:t>
      </w:r>
      <w:r w:rsidRPr="00EE4D5A">
        <w:t>10.1038/s41598-023-40754-w</w:t>
      </w:r>
      <w:r>
        <w:t>. IF 4.6 Q2.</w:t>
      </w:r>
    </w:p>
    <w:p w:rsidR="00E709A9" w:rsidRDefault="00E709A9" w:rsidP="00E709A9">
      <w:pPr>
        <w:pStyle w:val="ListParagraph"/>
        <w:numPr>
          <w:ilvl w:val="0"/>
          <w:numId w:val="3"/>
        </w:numPr>
        <w:jc w:val="both"/>
      </w:pPr>
      <w:r w:rsidRPr="00EE4D5A">
        <w:t>Adelina Lombrea</w:t>
      </w:r>
      <w:r w:rsidRPr="000B4EB1">
        <w:rPr>
          <w:vertAlign w:val="superscript"/>
        </w:rPr>
        <w:t>†</w:t>
      </w:r>
      <w:r>
        <w:t>,</w:t>
      </w:r>
      <w:r w:rsidRPr="00EE4D5A">
        <w:t xml:space="preserve"> </w:t>
      </w:r>
      <w:r w:rsidRPr="00EE4D5A">
        <w:rPr>
          <w:b/>
          <w:bCs/>
        </w:rPr>
        <w:t>Mirabela Romanescu</w:t>
      </w:r>
      <w:r w:rsidRPr="000B4EB1">
        <w:rPr>
          <w:vertAlign w:val="superscript"/>
        </w:rPr>
        <w:t>†</w:t>
      </w:r>
      <w:r>
        <w:t>,</w:t>
      </w:r>
      <w:r w:rsidRPr="00EE4D5A">
        <w:t xml:space="preserve"> Narcisa Jianu</w:t>
      </w:r>
      <w:r>
        <w:t>,</w:t>
      </w:r>
      <w:r w:rsidRPr="00EE4D5A">
        <w:t xml:space="preserve"> Minodora Andor</w:t>
      </w:r>
      <w:r>
        <w:t>,</w:t>
      </w:r>
      <w:r w:rsidRPr="00EE4D5A">
        <w:t xml:space="preserve"> Maria Suciu</w:t>
      </w:r>
      <w:r>
        <w:t>,</w:t>
      </w:r>
      <w:r w:rsidRPr="00EE4D5A">
        <w:t xml:space="preserve"> Dana Emilia Man</w:t>
      </w:r>
      <w:r>
        <w:t>,</w:t>
      </w:r>
      <w:r w:rsidRPr="00EE4D5A">
        <w:t xml:space="preserve"> Corina Danciu</w:t>
      </w:r>
      <w:r>
        <w:t>,</w:t>
      </w:r>
      <w:r w:rsidRPr="00EE4D5A">
        <w:t xml:space="preserve"> Cristina Adriana Dehelean</w:t>
      </w:r>
      <w:r>
        <w:t>,</w:t>
      </w:r>
      <w:r w:rsidRPr="00EE4D5A">
        <w:t xml:space="preserve"> Valentina Buda</w:t>
      </w:r>
      <w:r>
        <w:t xml:space="preserve">. </w:t>
      </w:r>
      <w:r w:rsidRPr="00EE4D5A">
        <w:t xml:space="preserve">Sex-Related Differences in the Pharmacological Response in SARS-CoV-2 Infection, Dyslipidemia, and Diabetes Mellitus: A Narrative Review. Pharmaceuticals. 2023; 16(6):853. </w:t>
      </w:r>
      <w:r>
        <w:t xml:space="preserve">ISSN/eISSN </w:t>
      </w:r>
      <w:r w:rsidRPr="00EE4D5A">
        <w:t>1424-8247</w:t>
      </w:r>
      <w:r>
        <w:t xml:space="preserve">. Published </w:t>
      </w:r>
      <w:r w:rsidRPr="00EE4D5A">
        <w:t>07</w:t>
      </w:r>
      <w:r>
        <w:t xml:space="preserve"> June 2</w:t>
      </w:r>
      <w:r w:rsidRPr="00EE4D5A">
        <w:t>023</w:t>
      </w:r>
      <w:r>
        <w:t xml:space="preserve">. DOI: </w:t>
      </w:r>
      <w:r w:rsidRPr="00EE4D5A">
        <w:t>10.3390/ph16060853</w:t>
      </w:r>
      <w:r>
        <w:t>.</w:t>
      </w:r>
      <w:r w:rsidRPr="00EE4D5A">
        <w:t xml:space="preserve"> </w:t>
      </w:r>
      <w:r>
        <w:t>IF 4.6 Q2.</w:t>
      </w:r>
    </w:p>
    <w:p w:rsidR="00E709A9" w:rsidRDefault="00E709A9" w:rsidP="00E709A9">
      <w:pPr>
        <w:pStyle w:val="ListParagraph"/>
        <w:numPr>
          <w:ilvl w:val="0"/>
          <w:numId w:val="3"/>
        </w:numPr>
        <w:jc w:val="both"/>
      </w:pPr>
      <w:r w:rsidRPr="00EE4D5A">
        <w:rPr>
          <w:b/>
          <w:bCs/>
        </w:rPr>
        <w:t>Mirabela Romanescu</w:t>
      </w:r>
      <w:r>
        <w:t>,</w:t>
      </w:r>
      <w:r w:rsidRPr="00EE4D5A">
        <w:t xml:space="preserve"> Camelia Oprean</w:t>
      </w:r>
      <w:r>
        <w:t>,</w:t>
      </w:r>
      <w:r w:rsidRPr="00EE4D5A">
        <w:t xml:space="preserve"> Adelina Lombrea</w:t>
      </w:r>
      <w:r>
        <w:t>,</w:t>
      </w:r>
      <w:r w:rsidRPr="00EE4D5A">
        <w:t xml:space="preserve"> Bianca Badescu</w:t>
      </w:r>
      <w:r>
        <w:t>,</w:t>
      </w:r>
      <w:r w:rsidRPr="00EE4D5A">
        <w:t xml:space="preserve"> Ana Teodor</w:t>
      </w:r>
      <w:r>
        <w:t>,</w:t>
      </w:r>
      <w:r w:rsidRPr="00EE4D5A">
        <w:t xml:space="preserve"> George D. Constantin</w:t>
      </w:r>
      <w:r>
        <w:t>,</w:t>
      </w:r>
      <w:r w:rsidRPr="00EE4D5A">
        <w:t xml:space="preserve"> Minodora Andor</w:t>
      </w:r>
      <w:r>
        <w:t>,</w:t>
      </w:r>
      <w:r w:rsidRPr="00EE4D5A">
        <w:t xml:space="preserve"> Roxana Folescu</w:t>
      </w:r>
      <w:r>
        <w:t>,</w:t>
      </w:r>
      <w:r w:rsidRPr="00EE4D5A">
        <w:t xml:space="preserve"> Delia Muntean</w:t>
      </w:r>
      <w:r>
        <w:t>,</w:t>
      </w:r>
      <w:r w:rsidRPr="00EE4D5A">
        <w:t xml:space="preserve"> Corina Danciu</w:t>
      </w:r>
      <w:r>
        <w:t xml:space="preserve">, Olivia Dalleur, Stefan Laurentiu Batrina, Octavian Cretu, Valentina Oana Buda. </w:t>
      </w:r>
      <w:r w:rsidRPr="00EE4D5A">
        <w:t xml:space="preserve">Current State of Knowledge Regarding WHO High Priority Pathogens—Resistance Mechanisms and Proposed Solutions through Candidates Such as Essential Oils: A Systematic Review. International Journal of Molecular Sciences. 2023; 24(11):9727. </w:t>
      </w:r>
      <w:r>
        <w:t xml:space="preserve">ISSN/eISSN 1661-6596 / 1422-0067. Published </w:t>
      </w:r>
      <w:r w:rsidRPr="00EE4D5A">
        <w:t>04</w:t>
      </w:r>
      <w:r>
        <w:t xml:space="preserve"> June </w:t>
      </w:r>
      <w:r w:rsidRPr="00EE4D5A">
        <w:t>2023</w:t>
      </w:r>
      <w:r>
        <w:t xml:space="preserve">. DOI: </w:t>
      </w:r>
      <w:r w:rsidRPr="00EE4D5A">
        <w:t>10.3390/ijms24119727</w:t>
      </w:r>
      <w:r>
        <w:t>. IF 5.6 Q1.</w:t>
      </w:r>
    </w:p>
    <w:p w:rsidR="00E709A9" w:rsidRDefault="00E709A9" w:rsidP="00E709A9">
      <w:pPr>
        <w:pStyle w:val="ListParagraph"/>
        <w:numPr>
          <w:ilvl w:val="0"/>
          <w:numId w:val="3"/>
        </w:numPr>
        <w:jc w:val="both"/>
      </w:pPr>
      <w:r w:rsidRPr="00EE4D5A">
        <w:t>Ionut Dragos Capraru</w:t>
      </w:r>
      <w:r>
        <w:t>,</w:t>
      </w:r>
      <w:r w:rsidRPr="00EE4D5A">
        <w:t xml:space="preserve"> </w:t>
      </w:r>
      <w:r w:rsidRPr="00EE4D5A">
        <w:rPr>
          <w:b/>
          <w:bCs/>
        </w:rPr>
        <w:t>Mirabela Romanescu</w:t>
      </w:r>
      <w:r>
        <w:t>,</w:t>
      </w:r>
      <w:r w:rsidRPr="00EE4D5A">
        <w:t xml:space="preserve"> Flavia Medana Anghel</w:t>
      </w:r>
      <w:r>
        <w:t>,</w:t>
      </w:r>
      <w:r w:rsidRPr="00EE4D5A">
        <w:t xml:space="preserve"> Cristian Oancea</w:t>
      </w:r>
      <w:r>
        <w:t>,</w:t>
      </w:r>
      <w:r w:rsidRPr="00EE4D5A">
        <w:t xml:space="preserve"> Catalin Marian</w:t>
      </w:r>
      <w:r>
        <w:t>,</w:t>
      </w:r>
      <w:r w:rsidRPr="00EE4D5A">
        <w:t xml:space="preserve"> Ioan Ovidiu Sirbu</w:t>
      </w:r>
      <w:r>
        <w:t>,</w:t>
      </w:r>
      <w:r w:rsidRPr="00EE4D5A">
        <w:t xml:space="preserve"> Aimee Rodica Chis</w:t>
      </w:r>
      <w:r>
        <w:t>,</w:t>
      </w:r>
      <w:r w:rsidRPr="00EE4D5A">
        <w:t xml:space="preserve"> Paula Diana Ciordas</w:t>
      </w:r>
      <w:r>
        <w:t xml:space="preserve">. </w:t>
      </w:r>
      <w:r w:rsidRPr="00EE4D5A">
        <w:t xml:space="preserve">Identification of Genomic Variants of SARS-CoV-2 Using Nanopore Sequencing. Medicina. 2022; 58(12):1841. </w:t>
      </w:r>
      <w:r>
        <w:t xml:space="preserve">ISSN/eISSN 1010-660X. Published </w:t>
      </w:r>
      <w:r w:rsidRPr="00EE4D5A">
        <w:t>15</w:t>
      </w:r>
      <w:r>
        <w:t xml:space="preserve"> December </w:t>
      </w:r>
      <w:r w:rsidRPr="00EE4D5A">
        <w:t>2022</w:t>
      </w:r>
      <w:r>
        <w:t xml:space="preserve">. DOI: </w:t>
      </w:r>
      <w:r w:rsidRPr="00EE4D5A">
        <w:t>10.3390/medicina58121841</w:t>
      </w:r>
      <w:r>
        <w:t>. IF 2.6 Q3.</w:t>
      </w:r>
    </w:p>
    <w:p w:rsidR="00E709A9" w:rsidRDefault="00E709A9" w:rsidP="00E709A9">
      <w:pPr>
        <w:pStyle w:val="ListParagraph"/>
        <w:numPr>
          <w:ilvl w:val="0"/>
          <w:numId w:val="3"/>
        </w:numPr>
        <w:jc w:val="both"/>
      </w:pPr>
      <w:r w:rsidRPr="00EE4D5A">
        <w:t>Bianca Badescu</w:t>
      </w:r>
      <w:r>
        <w:t>,</w:t>
      </w:r>
      <w:r w:rsidRPr="00EE4D5A">
        <w:t xml:space="preserve"> Valentina Buda</w:t>
      </w:r>
      <w:r>
        <w:t>,</w:t>
      </w:r>
      <w:r w:rsidRPr="00EE4D5A">
        <w:t xml:space="preserve"> </w:t>
      </w:r>
      <w:r w:rsidRPr="00EE4D5A">
        <w:rPr>
          <w:b/>
          <w:bCs/>
        </w:rPr>
        <w:t>Mirabela Romanescu</w:t>
      </w:r>
      <w:r>
        <w:rPr>
          <w:b/>
          <w:bCs/>
        </w:rPr>
        <w:t>*</w:t>
      </w:r>
      <w:r>
        <w:t>,</w:t>
      </w:r>
      <w:r w:rsidRPr="00EE4D5A">
        <w:t xml:space="preserve"> Adelina Lombrea</w:t>
      </w:r>
      <w:r>
        <w:t>,</w:t>
      </w:r>
      <w:r w:rsidRPr="00EE4D5A">
        <w:t xml:space="preserve"> Corina Danciu</w:t>
      </w:r>
      <w:r>
        <w:t>,</w:t>
      </w:r>
      <w:r w:rsidRPr="00EE4D5A">
        <w:t xml:space="preserve"> Olivia Dalleur</w:t>
      </w:r>
      <w:r>
        <w:t>,</w:t>
      </w:r>
      <w:r w:rsidRPr="00EE4D5A">
        <w:t xml:space="preserve"> Angele Modupe Dohou</w:t>
      </w:r>
      <w:r>
        <w:t>,</w:t>
      </w:r>
      <w:r w:rsidRPr="00EE4D5A">
        <w:t xml:space="preserve"> Victor Dumitrascu</w:t>
      </w:r>
      <w:r>
        <w:t>,</w:t>
      </w:r>
      <w:r w:rsidRPr="00EE4D5A">
        <w:t xml:space="preserve"> Octavian Cretu</w:t>
      </w:r>
      <w:r>
        <w:t>,</w:t>
      </w:r>
      <w:r w:rsidRPr="00EE4D5A">
        <w:t xml:space="preserve"> Monica Licker</w:t>
      </w:r>
      <w:r>
        <w:t xml:space="preserve">, </w:t>
      </w:r>
      <w:r w:rsidRPr="00EE4D5A">
        <w:t>Delia Muntean</w:t>
      </w:r>
      <w:r>
        <w:t xml:space="preserve">. </w:t>
      </w:r>
      <w:r w:rsidRPr="00EE4D5A">
        <w:t>Current State of Knowledge Regarding WHO Critical Priority Pathogens: Mechanisms of Resistance and Proposed Solutions through Candidates Such as Essential Oils. Plants. 2022</w:t>
      </w:r>
      <w:r>
        <w:t>;</w:t>
      </w:r>
      <w:r w:rsidRPr="00EE4D5A">
        <w:t xml:space="preserve"> 11(14):1789. </w:t>
      </w:r>
      <w:r>
        <w:t xml:space="preserve">ISSN/eISSN </w:t>
      </w:r>
      <w:r w:rsidRPr="00EE4D5A">
        <w:t>2223-7747</w:t>
      </w:r>
      <w:r>
        <w:t xml:space="preserve">. Published </w:t>
      </w:r>
      <w:r w:rsidRPr="00EE4D5A">
        <w:t>06</w:t>
      </w:r>
      <w:r>
        <w:t xml:space="preserve"> July </w:t>
      </w:r>
      <w:r w:rsidRPr="00EE4D5A">
        <w:t>2022</w:t>
      </w:r>
      <w:r>
        <w:t xml:space="preserve">. DOI: </w:t>
      </w:r>
      <w:r w:rsidRPr="00EE4D5A">
        <w:t>10.3390/plants11141789</w:t>
      </w:r>
      <w:r>
        <w:t>. IF 4.5 Q1.</w:t>
      </w:r>
    </w:p>
    <w:p w:rsidR="00E709A9" w:rsidRDefault="00E709A9" w:rsidP="00E709A9">
      <w:pPr>
        <w:pStyle w:val="ListParagraph"/>
        <w:numPr>
          <w:ilvl w:val="0"/>
          <w:numId w:val="3"/>
        </w:numPr>
        <w:jc w:val="both"/>
      </w:pPr>
      <w:bookmarkStart w:id="1" w:name="OLE_LINK1"/>
      <w:r w:rsidRPr="00EE4D5A">
        <w:rPr>
          <w:b/>
          <w:bCs/>
        </w:rPr>
        <w:t>Mirabela Romanescu</w:t>
      </w:r>
      <w:r>
        <w:t>,</w:t>
      </w:r>
      <w:r w:rsidRPr="00EE4D5A">
        <w:t xml:space="preserve"> Valentina Buda</w:t>
      </w:r>
      <w:r>
        <w:t>,</w:t>
      </w:r>
      <w:r w:rsidRPr="00EE4D5A">
        <w:t xml:space="preserve"> Adelina Lombrea</w:t>
      </w:r>
      <w:r>
        <w:t>,</w:t>
      </w:r>
      <w:r w:rsidRPr="00EE4D5A">
        <w:t xml:space="preserve"> Minodora Andor</w:t>
      </w:r>
      <w:r>
        <w:t>,</w:t>
      </w:r>
      <w:r w:rsidRPr="00EE4D5A">
        <w:t xml:space="preserve"> Ionut Ledeti</w:t>
      </w:r>
      <w:r>
        <w:t>,</w:t>
      </w:r>
      <w:r w:rsidRPr="00EE4D5A">
        <w:t xml:space="preserve"> Maria Suciu</w:t>
      </w:r>
      <w:r>
        <w:t>,</w:t>
      </w:r>
      <w:r w:rsidRPr="00EE4D5A">
        <w:t xml:space="preserve"> Corina Danciu</w:t>
      </w:r>
      <w:r>
        <w:t>,</w:t>
      </w:r>
      <w:r w:rsidRPr="00EE4D5A">
        <w:t xml:space="preserve"> Cristina Adriana Dehelean</w:t>
      </w:r>
      <w:r>
        <w:t>,</w:t>
      </w:r>
      <w:r w:rsidRPr="00EE4D5A">
        <w:t xml:space="preserve"> Liana Dehelean</w:t>
      </w:r>
      <w:r>
        <w:t xml:space="preserve">. </w:t>
      </w:r>
      <w:r w:rsidRPr="00EE4D5A">
        <w:t>Sex-Related Differences in Pharmacological Response to CNS Drugs: A Narrative Review. Journal of Personalized Medicine. 2022</w:t>
      </w:r>
      <w:r>
        <w:t>,</w:t>
      </w:r>
      <w:r w:rsidRPr="00EE4D5A">
        <w:t xml:space="preserve"> 12(6):907. </w:t>
      </w:r>
      <w:r>
        <w:t xml:space="preserve">ISSN/eISSN 2075-4426. Published </w:t>
      </w:r>
      <w:r w:rsidRPr="00EE4D5A">
        <w:t>31</w:t>
      </w:r>
      <w:r>
        <w:t xml:space="preserve"> May </w:t>
      </w:r>
      <w:r w:rsidRPr="00EE4D5A">
        <w:t>2022</w:t>
      </w:r>
      <w:r>
        <w:t xml:space="preserve">. DOI: </w:t>
      </w:r>
      <w:r w:rsidRPr="00EE4D5A">
        <w:t>10.3390/jpm12060907</w:t>
      </w:r>
      <w:r>
        <w:t>. IF 3.4 Q2.</w:t>
      </w:r>
      <w:bookmarkEnd w:id="1"/>
      <w:r>
        <w:t xml:space="preserve"> </w:t>
      </w:r>
    </w:p>
    <w:p w:rsidR="00E709A9" w:rsidRDefault="00E709A9" w:rsidP="00E709A9">
      <w:pPr>
        <w:pStyle w:val="ListParagraph"/>
        <w:numPr>
          <w:ilvl w:val="0"/>
          <w:numId w:val="3"/>
        </w:numPr>
        <w:jc w:val="both"/>
      </w:pPr>
      <w:r w:rsidRPr="00EE4D5A">
        <w:t>Ionut Ledeti</w:t>
      </w:r>
      <w:r>
        <w:t>,</w:t>
      </w:r>
      <w:r w:rsidRPr="00EE4D5A">
        <w:t xml:space="preserve"> </w:t>
      </w:r>
      <w:r w:rsidRPr="00EE4D5A">
        <w:rPr>
          <w:b/>
          <w:bCs/>
        </w:rPr>
        <w:t>Mirabela Romanescu</w:t>
      </w:r>
      <w:r>
        <w:t>,</w:t>
      </w:r>
      <w:r w:rsidRPr="00EE4D5A">
        <w:t xml:space="preserve"> Denisa Circioban</w:t>
      </w:r>
      <w:r>
        <w:t>,</w:t>
      </w:r>
      <w:r w:rsidRPr="00EE4D5A">
        <w:t xml:space="preserve"> Adriana Ledeți</w:t>
      </w:r>
      <w:r>
        <w:t>,</w:t>
      </w:r>
      <w:r w:rsidRPr="00EE4D5A">
        <w:t xml:space="preserve"> Gabriela Vlase</w:t>
      </w:r>
      <w:r>
        <w:t>,</w:t>
      </w:r>
      <w:r w:rsidRPr="00EE4D5A">
        <w:t xml:space="preserve"> Titus Vlase</w:t>
      </w:r>
      <w:r>
        <w:t>,</w:t>
      </w:r>
      <w:r w:rsidRPr="00EE4D5A">
        <w:t xml:space="preserve"> Oana Suciu</w:t>
      </w:r>
      <w:r>
        <w:t>,</w:t>
      </w:r>
      <w:r w:rsidRPr="00EE4D5A">
        <w:t xml:space="preserve"> Marius Murariu</w:t>
      </w:r>
      <w:r>
        <w:t>,</w:t>
      </w:r>
      <w:r w:rsidRPr="00EE4D5A">
        <w:t xml:space="preserve"> Sorin Olariu</w:t>
      </w:r>
      <w:r>
        <w:t>,</w:t>
      </w:r>
      <w:r w:rsidRPr="00EE4D5A">
        <w:t xml:space="preserve"> Petru Matusz</w:t>
      </w:r>
      <w:r>
        <w:t xml:space="preserve">, </w:t>
      </w:r>
      <w:r w:rsidRPr="00EE4D5A">
        <w:t>Valentina Buda</w:t>
      </w:r>
      <w:r>
        <w:t xml:space="preserve">, Doina Piciu. </w:t>
      </w:r>
      <w:r w:rsidRPr="00EE4D5A">
        <w:t>Stability and Compatibility Studies of Levothyroxine Sodium in Solid Binary Systems—Instrumental Screening. Pharmaceutics. 2020</w:t>
      </w:r>
      <w:r>
        <w:t>;</w:t>
      </w:r>
      <w:r w:rsidRPr="00EE4D5A">
        <w:t xml:space="preserve"> 12(1):58. </w:t>
      </w:r>
      <w:r>
        <w:t xml:space="preserve">ISSN/eISSN </w:t>
      </w:r>
      <w:r w:rsidRPr="00EE4D5A">
        <w:t>1999-4923</w:t>
      </w:r>
      <w:r>
        <w:t xml:space="preserve">. Published </w:t>
      </w:r>
      <w:r w:rsidRPr="00EE4D5A">
        <w:t>10</w:t>
      </w:r>
      <w:r>
        <w:t xml:space="preserve"> January </w:t>
      </w:r>
      <w:r w:rsidRPr="00EE4D5A">
        <w:t>2020</w:t>
      </w:r>
      <w:r>
        <w:t xml:space="preserve">. DOI: </w:t>
      </w:r>
      <w:r w:rsidRPr="00EE4D5A">
        <w:t>10.3390/pharmaceutics12010058</w:t>
      </w:r>
      <w:r>
        <w:t>. IF 6.321. Q1.</w:t>
      </w:r>
    </w:p>
    <w:p w:rsidR="00E709A9" w:rsidRDefault="00E709A9" w:rsidP="00E709A9">
      <w:pPr>
        <w:jc w:val="both"/>
      </w:pPr>
    </w:p>
    <w:p w:rsidR="00E709A9" w:rsidRDefault="00E709A9" w:rsidP="00E709A9">
      <w:pPr>
        <w:pStyle w:val="ECVLeftDetails"/>
        <w:jc w:val="left"/>
      </w:pPr>
      <w:r>
        <w:t>Manifestări Științifice Internaționale</w:t>
      </w:r>
    </w:p>
    <w:p w:rsidR="00E709A9" w:rsidRPr="00CD4D9E" w:rsidRDefault="00E709A9" w:rsidP="00CD4D9E">
      <w:pPr>
        <w:pStyle w:val="ListParagraph"/>
        <w:numPr>
          <w:ilvl w:val="0"/>
          <w:numId w:val="10"/>
        </w:numPr>
        <w:jc w:val="both"/>
        <w:rPr>
          <w:i/>
          <w:iCs/>
        </w:rPr>
      </w:pPr>
      <w:r w:rsidRPr="00CD4D9E">
        <w:rPr>
          <w:i/>
          <w:iCs/>
        </w:rPr>
        <w:t>Underuse of Medicines in Romanian Elderly Population Based on START v.2, 2015 Criteria.</w:t>
      </w:r>
    </w:p>
    <w:p w:rsidR="00E709A9" w:rsidRDefault="00E709A9" w:rsidP="00E709A9">
      <w:pPr>
        <w:pStyle w:val="ListParagraph"/>
        <w:jc w:val="both"/>
      </w:pPr>
      <w:r w:rsidRPr="00A5008B">
        <w:t>Valentina Buda, Andreea Prelipcean, Olivia Dalleur</w:t>
      </w:r>
      <w:r>
        <w:t>,</w:t>
      </w:r>
      <w:r w:rsidRPr="00A5008B">
        <w:t xml:space="preserve"> Maria Suciu, Liana Suciu, Simona Buda, </w:t>
      </w:r>
      <w:r w:rsidRPr="00EE3127">
        <w:rPr>
          <w:b/>
          <w:bCs/>
        </w:rPr>
        <w:t>Mirabela Romanescu</w:t>
      </w:r>
      <w:r w:rsidRPr="00A5008B">
        <w:t>, Diana Mailat, Teodora Mateoc, Angele Dohou, Carmen Cristescu, Lucian Petrescu</w:t>
      </w:r>
      <w:r>
        <w:t>,</w:t>
      </w:r>
      <w:r w:rsidRPr="00A5008B">
        <w:t xml:space="preserve"> Octavian Cretu, Minodora Andor</w:t>
      </w:r>
      <w:r>
        <w:t>.</w:t>
      </w:r>
    </w:p>
    <w:p w:rsidR="00E709A9" w:rsidRDefault="00E709A9" w:rsidP="00E709A9">
      <w:pPr>
        <w:pStyle w:val="ListParagraph"/>
        <w:jc w:val="both"/>
      </w:pPr>
      <w:r>
        <w:t>The</w:t>
      </w:r>
      <w:r w:rsidRPr="00A5008B">
        <w:t xml:space="preserve"> 20th Annual World Congress on Insulin Resistance Diabetes &amp; Cardiovascular Disease</w:t>
      </w:r>
      <w:r>
        <w:t xml:space="preserve">, 7-9 December 2023, </w:t>
      </w:r>
      <w:r w:rsidRPr="00FA7687">
        <w:t>Universal City, C</w:t>
      </w:r>
      <w:r>
        <w:t xml:space="preserve">alifornia, USA. </w:t>
      </w:r>
    </w:p>
    <w:p w:rsidR="00E709A9" w:rsidRPr="00A5008B" w:rsidRDefault="00E709A9" w:rsidP="00E709A9">
      <w:pPr>
        <w:pStyle w:val="ListParagraph"/>
        <w:jc w:val="both"/>
      </w:pPr>
      <w:r>
        <w:t xml:space="preserve">Abstract (Metabolism – Clinical and Experimental. Volume 142, Supplement, </w:t>
      </w:r>
      <w:r w:rsidRPr="00633E78">
        <w:t>ISSN 0026-0495</w:t>
      </w:r>
      <w:r>
        <w:t xml:space="preserve">, article </w:t>
      </w:r>
      <w:r w:rsidRPr="00633E78">
        <w:t>155505</w:t>
      </w:r>
      <w:r>
        <w:t xml:space="preserve">, S39, abstract 0128. Published </w:t>
      </w:r>
      <w:r w:rsidRPr="00633E78">
        <w:rPr>
          <w:rFonts w:cs="Arial"/>
          <w:color w:val="1F1F1F"/>
        </w:rPr>
        <w:t>9 May 2023</w:t>
      </w:r>
      <w:r>
        <w:rPr>
          <w:rFonts w:cs="Arial"/>
          <w:color w:val="1F1F1F"/>
        </w:rPr>
        <w:t xml:space="preserve">. </w:t>
      </w:r>
      <w:r w:rsidRPr="00633E78">
        <w:rPr>
          <w:rFonts w:cs="Arial"/>
          <w:color w:val="1F1F1F"/>
        </w:rPr>
        <w:t>DOI: 10.1016/j.metabol.2023.155505</w:t>
      </w:r>
      <w:r>
        <w:rPr>
          <w:rFonts w:cs="Arial"/>
          <w:color w:val="1F1F1F"/>
        </w:rPr>
        <w:t>. IF 9.8 Q1).</w:t>
      </w:r>
    </w:p>
    <w:p w:rsidR="00E709A9" w:rsidRPr="00CD4D9E" w:rsidRDefault="00E709A9" w:rsidP="00CD4D9E">
      <w:pPr>
        <w:pStyle w:val="ListParagraph"/>
        <w:numPr>
          <w:ilvl w:val="0"/>
          <w:numId w:val="10"/>
        </w:numPr>
        <w:jc w:val="both"/>
        <w:rPr>
          <w:i/>
          <w:iCs/>
        </w:rPr>
      </w:pPr>
      <w:r w:rsidRPr="00CD4D9E">
        <w:rPr>
          <w:i/>
          <w:iCs/>
        </w:rPr>
        <w:t>Therapy induced microRNA modifications in Parkinson’s disease.</w:t>
      </w:r>
    </w:p>
    <w:p w:rsidR="00E709A9" w:rsidRDefault="00E709A9" w:rsidP="00E709A9">
      <w:pPr>
        <w:pStyle w:val="ListParagraph"/>
        <w:jc w:val="both"/>
      </w:pPr>
      <w:r w:rsidRPr="00C830CC">
        <w:rPr>
          <w:b/>
          <w:bCs/>
        </w:rPr>
        <w:t>Mirabela Romanescu</w:t>
      </w:r>
      <w:r w:rsidRPr="00C830CC">
        <w:t>, Aimee Rodica Chis, Alexandra Ioana Moatar, Catalin Marian, Mihaela Simu, Ioan Ovidiu Sirbu</w:t>
      </w:r>
      <w:r>
        <w:t>.</w:t>
      </w:r>
    </w:p>
    <w:p w:rsidR="00E709A9" w:rsidRDefault="00E709A9" w:rsidP="00E709A9">
      <w:pPr>
        <w:pStyle w:val="ListParagraph"/>
        <w:jc w:val="both"/>
      </w:pPr>
      <w:r>
        <w:t>FEBS 2022 Advances Course – 4</w:t>
      </w:r>
      <w:r w:rsidRPr="00C830CC">
        <w:rPr>
          <w:vertAlign w:val="superscript"/>
        </w:rPr>
        <w:t>th</w:t>
      </w:r>
      <w:r>
        <w:t xml:space="preserve"> Danube </w:t>
      </w:r>
      <w:r w:rsidRPr="00C830CC">
        <w:t>Conference on Epigenetics</w:t>
      </w:r>
      <w:r>
        <w:t>, 18-21 October 2022, Research Center of Natural Sciences, Budapest, Hungary.</w:t>
      </w:r>
    </w:p>
    <w:p w:rsidR="00E709A9" w:rsidRDefault="00E709A9" w:rsidP="00E709A9">
      <w:pPr>
        <w:pStyle w:val="ListParagraph"/>
        <w:jc w:val="both"/>
      </w:pPr>
      <w:r>
        <w:t>Abstract (Book of abstracts, p. 91) and Poster (P-38).</w:t>
      </w:r>
    </w:p>
    <w:p w:rsidR="00E709A9" w:rsidRPr="00C830CC" w:rsidRDefault="00E709A9" w:rsidP="00CD4D9E">
      <w:pPr>
        <w:pStyle w:val="ListParagraph"/>
        <w:numPr>
          <w:ilvl w:val="0"/>
          <w:numId w:val="10"/>
        </w:numPr>
        <w:jc w:val="both"/>
        <w:rPr>
          <w:i/>
          <w:iCs/>
        </w:rPr>
      </w:pPr>
      <w:r w:rsidRPr="00C830CC">
        <w:rPr>
          <w:i/>
          <w:iCs/>
        </w:rPr>
        <w:t>Altered circulating hsa-miR-195-5p level predicts Covid-19 severity in hospitalized patients</w:t>
      </w:r>
      <w:r>
        <w:rPr>
          <w:i/>
          <w:iCs/>
        </w:rPr>
        <w:t>.</w:t>
      </w:r>
    </w:p>
    <w:p w:rsidR="00E709A9" w:rsidRDefault="00E709A9" w:rsidP="00E709A9">
      <w:pPr>
        <w:pStyle w:val="ListParagraph"/>
        <w:jc w:val="both"/>
      </w:pPr>
      <w:r w:rsidRPr="00C830CC">
        <w:t xml:space="preserve">Alexandra Moatar, Aimee Chis, </w:t>
      </w:r>
      <w:r w:rsidRPr="00C830CC">
        <w:rPr>
          <w:b/>
          <w:bCs/>
        </w:rPr>
        <w:t>Mirabela Romanescu</w:t>
      </w:r>
      <w:r w:rsidRPr="00C830CC">
        <w:t>, Cristian Oancea, Catalin Marian, Ovidiu Sirbu</w:t>
      </w:r>
      <w:r>
        <w:t>.</w:t>
      </w:r>
    </w:p>
    <w:p w:rsidR="00E709A9" w:rsidRDefault="00E709A9" w:rsidP="00E709A9">
      <w:pPr>
        <w:pStyle w:val="ListParagraph"/>
        <w:jc w:val="both"/>
      </w:pPr>
      <w:r>
        <w:t>FEBS 2022 Advances Course – 4</w:t>
      </w:r>
      <w:r w:rsidRPr="00C830CC">
        <w:rPr>
          <w:vertAlign w:val="superscript"/>
        </w:rPr>
        <w:t>th</w:t>
      </w:r>
      <w:r>
        <w:t xml:space="preserve"> Danube </w:t>
      </w:r>
      <w:r w:rsidRPr="00C830CC">
        <w:t>Conference on Epigenetics</w:t>
      </w:r>
      <w:r>
        <w:t>, 18-21 October 2022, Research Center of Natural Sciences, Budapest, Hungary.</w:t>
      </w:r>
    </w:p>
    <w:p w:rsidR="00E709A9" w:rsidRDefault="00E709A9" w:rsidP="00E709A9">
      <w:pPr>
        <w:pStyle w:val="ListParagraph"/>
        <w:jc w:val="both"/>
      </w:pPr>
      <w:r>
        <w:t>Abstract (Book of abstracts, p. 97) and Poster (P-45).</w:t>
      </w:r>
    </w:p>
    <w:p w:rsidR="00E709A9" w:rsidRPr="00C830CC" w:rsidRDefault="00E709A9" w:rsidP="00CD4D9E">
      <w:pPr>
        <w:pStyle w:val="ListParagraph"/>
        <w:numPr>
          <w:ilvl w:val="0"/>
          <w:numId w:val="10"/>
        </w:numPr>
        <w:jc w:val="both"/>
        <w:rPr>
          <w:i/>
          <w:iCs/>
        </w:rPr>
      </w:pPr>
      <w:r w:rsidRPr="00C830CC">
        <w:rPr>
          <w:i/>
          <w:iCs/>
        </w:rPr>
        <w:t>Search of interaction between prednisolone and pharmaceutical excipients in solid binary mixtures</w:t>
      </w:r>
      <w:r>
        <w:rPr>
          <w:i/>
          <w:iCs/>
        </w:rPr>
        <w:t>.</w:t>
      </w:r>
      <w:r w:rsidRPr="00C830CC">
        <w:rPr>
          <w:i/>
          <w:iCs/>
        </w:rPr>
        <w:t xml:space="preserve"> </w:t>
      </w:r>
    </w:p>
    <w:p w:rsidR="00E709A9" w:rsidRDefault="00E709A9" w:rsidP="00E709A9">
      <w:pPr>
        <w:pStyle w:val="ListParagraph"/>
        <w:jc w:val="both"/>
      </w:pPr>
      <w:r>
        <w:t xml:space="preserve">Ionuţ Ledeţi, </w:t>
      </w:r>
      <w:r w:rsidRPr="00C830CC">
        <w:rPr>
          <w:b/>
          <w:bCs/>
        </w:rPr>
        <w:t>Mirabela Romanescu</w:t>
      </w:r>
      <w:r>
        <w:t>, Denisa Cîrcioban, Gabriela Vlase, Titus Vlase, Laura Sbârcea, Oana Suciu, Cezara Mureșan, Marius Murariu, Adriana Ledeţi.</w:t>
      </w:r>
    </w:p>
    <w:p w:rsidR="00E709A9" w:rsidRDefault="00E709A9" w:rsidP="00E709A9">
      <w:pPr>
        <w:pStyle w:val="ListParagraph"/>
        <w:jc w:val="both"/>
      </w:pPr>
      <w:r>
        <w:t>5 th Central and Eastern European Conference on Thermal Analysis and Calorimetry (CEEC-TAC5) and 14th Mediterranean Conference on Calorimetry and Thermal Analysis (Medicta2019), 27-30 August 2019, Rome, Italy.</w:t>
      </w:r>
    </w:p>
    <w:p w:rsidR="00E709A9" w:rsidRDefault="00E709A9" w:rsidP="00E709A9">
      <w:pPr>
        <w:pStyle w:val="ListParagraph"/>
        <w:jc w:val="both"/>
      </w:pPr>
      <w:r>
        <w:t>Abstract (Book of abstracts, ISBN 978-3-940237-59-0</w:t>
      </w:r>
      <w:r w:rsidR="004451D8">
        <w:t>, p. 385</w:t>
      </w:r>
      <w:r>
        <w:t>).</w:t>
      </w:r>
    </w:p>
    <w:p w:rsidR="00E709A9" w:rsidRDefault="00E709A9" w:rsidP="00E709A9">
      <w:pPr>
        <w:pStyle w:val="ListParagraph"/>
        <w:jc w:val="both"/>
      </w:pPr>
    </w:p>
    <w:p w:rsidR="00E709A9" w:rsidRDefault="00E709A9" w:rsidP="00E709A9">
      <w:pPr>
        <w:pStyle w:val="ECVLeftDetails"/>
        <w:jc w:val="left"/>
      </w:pPr>
      <w:r>
        <w:t>Manifestări Științifice Naționale cu Participare Internațională</w:t>
      </w:r>
    </w:p>
    <w:p w:rsidR="00E709A9" w:rsidRPr="00CD4D9E" w:rsidRDefault="00E709A9" w:rsidP="00CD4D9E">
      <w:pPr>
        <w:pStyle w:val="ListParagraph"/>
        <w:numPr>
          <w:ilvl w:val="0"/>
          <w:numId w:val="11"/>
        </w:numPr>
        <w:jc w:val="both"/>
        <w:rPr>
          <w:i/>
          <w:iCs/>
        </w:rPr>
      </w:pPr>
      <w:r w:rsidRPr="00CD4D9E">
        <w:rPr>
          <w:i/>
          <w:iCs/>
        </w:rPr>
        <w:t>Absolute and Relative Expression Analysis of Plasma MicroRNAs in Patients with Prostate Cancer – A Comparison.</w:t>
      </w:r>
    </w:p>
    <w:p w:rsidR="00E709A9" w:rsidRDefault="00E709A9" w:rsidP="00E709A9">
      <w:pPr>
        <w:pStyle w:val="ListParagraph"/>
        <w:jc w:val="both"/>
      </w:pPr>
      <w:r w:rsidRPr="00EE4D5A">
        <w:t xml:space="preserve">Paula Diana Ciordas, </w:t>
      </w:r>
      <w:r w:rsidRPr="00EE4D5A">
        <w:rPr>
          <w:b/>
          <w:bCs/>
        </w:rPr>
        <w:t>Mirabela Romanescu</w:t>
      </w:r>
      <w:r w:rsidRPr="00EE4D5A">
        <w:t xml:space="preserve">, Aimée Rodica Chis, Catalin Marian, </w:t>
      </w:r>
      <w:r>
        <w:t xml:space="preserve">and </w:t>
      </w:r>
      <w:r w:rsidRPr="00EE4D5A">
        <w:t>Ioan Ovidiu Sirbu</w:t>
      </w:r>
      <w:r>
        <w:t>.</w:t>
      </w:r>
    </w:p>
    <w:p w:rsidR="00E709A9" w:rsidRDefault="00E709A9" w:rsidP="00E709A9">
      <w:pPr>
        <w:pStyle w:val="ListParagraph"/>
        <w:jc w:val="both"/>
      </w:pPr>
      <w:r w:rsidRPr="00EE4D5A">
        <w:t xml:space="preserve">The Annual International Conference </w:t>
      </w:r>
      <w:r>
        <w:t>o</w:t>
      </w:r>
      <w:r w:rsidRPr="00EE4D5A">
        <w:t xml:space="preserve">f </w:t>
      </w:r>
      <w:r>
        <w:t>Romanian Society of Biochemistry and Molecular Biology (</w:t>
      </w:r>
      <w:r w:rsidRPr="00EE4D5A">
        <w:t>RSBMB</w:t>
      </w:r>
      <w:r>
        <w:t>), 13-15 September 2023, Cluj-Napoca, Romania.</w:t>
      </w:r>
    </w:p>
    <w:p w:rsidR="00E709A9" w:rsidRDefault="00E709A9" w:rsidP="00E709A9">
      <w:pPr>
        <w:pStyle w:val="ListParagraph"/>
        <w:jc w:val="both"/>
      </w:pPr>
      <w:r>
        <w:t xml:space="preserve">Abstract (Book of abstracts, </w:t>
      </w:r>
      <w:r w:rsidRPr="00EE3127">
        <w:t>ISSN (online): 2065-9512 | ISSN-L: 2065-9512</w:t>
      </w:r>
      <w:r>
        <w:t xml:space="preserve">, p. </w:t>
      </w:r>
      <w:r w:rsidR="00286EEB">
        <w:t>86</w:t>
      </w:r>
      <w:r>
        <w:t>) and Poster.</w:t>
      </w:r>
    </w:p>
    <w:p w:rsidR="00E709A9" w:rsidRPr="00CD4D9E" w:rsidRDefault="00E709A9" w:rsidP="00CD4D9E">
      <w:pPr>
        <w:pStyle w:val="ListParagraph"/>
        <w:numPr>
          <w:ilvl w:val="0"/>
          <w:numId w:val="11"/>
        </w:numPr>
        <w:jc w:val="both"/>
        <w:rPr>
          <w:i/>
          <w:iCs/>
        </w:rPr>
      </w:pPr>
      <w:r w:rsidRPr="00CD4D9E">
        <w:rPr>
          <w:i/>
          <w:iCs/>
        </w:rPr>
        <w:t>Nanopore-based metagenomics for diagnostic and therapy refinement in a case of acute canine pancreatitis.</w:t>
      </w:r>
    </w:p>
    <w:p w:rsidR="00E709A9" w:rsidRDefault="00E709A9" w:rsidP="00E709A9">
      <w:pPr>
        <w:pStyle w:val="ListParagraph"/>
        <w:jc w:val="both"/>
      </w:pPr>
      <w:r w:rsidRPr="00EE4D5A">
        <w:rPr>
          <w:b/>
          <w:bCs/>
        </w:rPr>
        <w:t>Mirabela Romanescu</w:t>
      </w:r>
      <w:r>
        <w:t>, Iulia Butoi, Aimee Rodica Chis, Paula Diana Ciordas, Emilian Olteanu, Paul Vilcu, and Ioan-Ovidiu Sirbu.</w:t>
      </w:r>
    </w:p>
    <w:p w:rsidR="00E709A9" w:rsidRDefault="00E709A9" w:rsidP="00E709A9">
      <w:pPr>
        <w:pStyle w:val="ListParagraph"/>
        <w:jc w:val="both"/>
      </w:pPr>
      <w:r>
        <w:t>RoBioinfo 2023 Conference, 11-13 May 2023, Bucharest, Romania.</w:t>
      </w:r>
    </w:p>
    <w:p w:rsidR="00E709A9" w:rsidRDefault="00E709A9" w:rsidP="00E709A9">
      <w:pPr>
        <w:pStyle w:val="ListParagraph"/>
        <w:jc w:val="both"/>
      </w:pPr>
      <w:r>
        <w:t xml:space="preserve">Abstract (Book of abstracts, </w:t>
      </w:r>
      <w:r w:rsidRPr="00EE3127">
        <w:t>ISBN 978-606-28-1617-9</w:t>
      </w:r>
      <w:r>
        <w:t xml:space="preserve">, p. </w:t>
      </w:r>
      <w:r w:rsidR="0061592F">
        <w:t>80-81</w:t>
      </w:r>
      <w:r>
        <w:t>) and Poster.</w:t>
      </w:r>
    </w:p>
    <w:p w:rsidR="00E709A9" w:rsidRPr="00EC0EC6" w:rsidRDefault="00E709A9" w:rsidP="00CD4D9E">
      <w:pPr>
        <w:pStyle w:val="ListParagraph"/>
        <w:numPr>
          <w:ilvl w:val="0"/>
          <w:numId w:val="11"/>
        </w:numPr>
        <w:jc w:val="both"/>
        <w:rPr>
          <w:i/>
          <w:iCs/>
        </w:rPr>
      </w:pPr>
      <w:r w:rsidRPr="00EC0EC6">
        <w:rPr>
          <w:i/>
          <w:iCs/>
        </w:rPr>
        <w:t>SARS-CoV-2 Genomic Variants Identification by Using Nanopore Sequencing</w:t>
      </w:r>
      <w:r>
        <w:rPr>
          <w:i/>
          <w:iCs/>
        </w:rPr>
        <w:t>.</w:t>
      </w:r>
    </w:p>
    <w:p w:rsidR="00E709A9" w:rsidRDefault="00E709A9" w:rsidP="00E709A9">
      <w:pPr>
        <w:pStyle w:val="ListParagraph"/>
        <w:jc w:val="both"/>
      </w:pPr>
      <w:r w:rsidRPr="00EC0EC6">
        <w:t xml:space="preserve">Paula Diana Ciordas, Ionut Dragos Capraru, </w:t>
      </w:r>
      <w:r w:rsidRPr="00EC0EC6">
        <w:rPr>
          <w:b/>
          <w:bCs/>
        </w:rPr>
        <w:t>Mirabela Romanescu</w:t>
      </w:r>
      <w:r w:rsidRPr="00EC0EC6">
        <w:t>, Flavia Anghel</w:t>
      </w:r>
      <w:r>
        <w:t xml:space="preserve">, </w:t>
      </w:r>
      <w:r w:rsidRPr="00EC0EC6">
        <w:t>Cristian Oancea, Catalin Marian, Ioan Ovidiu Sirbu, Aimée Rodica Chis</w:t>
      </w:r>
      <w:r>
        <w:t>.</w:t>
      </w:r>
    </w:p>
    <w:p w:rsidR="00E709A9" w:rsidRDefault="00E709A9" w:rsidP="00E709A9">
      <w:pPr>
        <w:pStyle w:val="ListParagraph"/>
        <w:jc w:val="both"/>
      </w:pPr>
      <w:r>
        <w:t>RoBioinfo 2023 Conference, 11-13 May 2022, Bucharest, Romania.</w:t>
      </w:r>
    </w:p>
    <w:p w:rsidR="00E709A9" w:rsidRDefault="00E709A9" w:rsidP="00E709A9">
      <w:pPr>
        <w:pStyle w:val="ListParagraph"/>
        <w:jc w:val="both"/>
      </w:pPr>
      <w:r>
        <w:t xml:space="preserve">Abstract (Book of abstracts, </w:t>
      </w:r>
      <w:r w:rsidRPr="00EE3127">
        <w:t>ISBN 978-606-28-1617-9</w:t>
      </w:r>
      <w:r>
        <w:t xml:space="preserve">, p. </w:t>
      </w:r>
      <w:r w:rsidR="0061592F">
        <w:t>82-83</w:t>
      </w:r>
      <w:r>
        <w:t>) and Poster.</w:t>
      </w:r>
    </w:p>
    <w:p w:rsidR="00E709A9" w:rsidRPr="00C830CC" w:rsidRDefault="00E709A9" w:rsidP="00CD4D9E">
      <w:pPr>
        <w:pStyle w:val="ListParagraph"/>
        <w:numPr>
          <w:ilvl w:val="0"/>
          <w:numId w:val="11"/>
        </w:numPr>
        <w:jc w:val="both"/>
        <w:rPr>
          <w:i/>
          <w:iCs/>
        </w:rPr>
      </w:pPr>
      <w:r w:rsidRPr="00C830CC">
        <w:rPr>
          <w:i/>
          <w:iCs/>
        </w:rPr>
        <w:t>Therapy induced microRNA modifications in Parkinson’s disease</w:t>
      </w:r>
      <w:r>
        <w:rPr>
          <w:i/>
          <w:iCs/>
        </w:rPr>
        <w:t>.</w:t>
      </w:r>
    </w:p>
    <w:p w:rsidR="00E709A9" w:rsidRDefault="00E709A9" w:rsidP="00E709A9">
      <w:pPr>
        <w:pStyle w:val="ListParagraph"/>
        <w:jc w:val="both"/>
      </w:pPr>
      <w:r w:rsidRPr="00C830CC">
        <w:rPr>
          <w:b/>
          <w:bCs/>
        </w:rPr>
        <w:t>Mirabela Romanescu</w:t>
      </w:r>
      <w:r w:rsidRPr="00C830CC">
        <w:t>, Aimee Rodica Chis, Alexandra Ioana Moatar, Catalin Marian, Mihaela Simu, Ioan Ovidiu Sirbu</w:t>
      </w:r>
    </w:p>
    <w:p w:rsidR="00E709A9" w:rsidRDefault="00E709A9" w:rsidP="00E709A9">
      <w:pPr>
        <w:pStyle w:val="ListParagraph"/>
        <w:jc w:val="both"/>
      </w:pPr>
      <w:r>
        <w:t>International conference and XXXIX scientific session of the Romanian Society for Cell Biology (RSCB), 21-23 October 2022, Cluj-Napoca, Romania.</w:t>
      </w:r>
    </w:p>
    <w:p w:rsidR="00E709A9" w:rsidRDefault="00E709A9" w:rsidP="00E709A9">
      <w:pPr>
        <w:pStyle w:val="ListParagraph"/>
        <w:jc w:val="both"/>
      </w:pPr>
      <w:r>
        <w:t>Abstract and Poster</w:t>
      </w:r>
      <w:r w:rsidR="00B33151">
        <w:t xml:space="preserve"> (P3)</w:t>
      </w:r>
      <w:r>
        <w:t>.</w:t>
      </w:r>
    </w:p>
    <w:p w:rsidR="00E709A9" w:rsidRPr="003A1462" w:rsidRDefault="00B33151" w:rsidP="00CD4D9E">
      <w:pPr>
        <w:pStyle w:val="ListParagraph"/>
        <w:numPr>
          <w:ilvl w:val="0"/>
          <w:numId w:val="11"/>
        </w:numPr>
        <w:jc w:val="both"/>
        <w:rPr>
          <w:i/>
          <w:iCs/>
        </w:rPr>
      </w:pPr>
      <w:r w:rsidRPr="00EC0EC6">
        <w:rPr>
          <w:i/>
          <w:iCs/>
        </w:rPr>
        <w:t>SARS-CoV-2 Genomic Variants Identification by Using Nanopore Sequencing</w:t>
      </w:r>
      <w:r w:rsidR="00E709A9">
        <w:rPr>
          <w:i/>
          <w:iCs/>
        </w:rPr>
        <w:t>.</w:t>
      </w:r>
    </w:p>
    <w:p w:rsidR="00B33151" w:rsidRDefault="00B33151" w:rsidP="00B33151">
      <w:pPr>
        <w:pStyle w:val="ListParagraph"/>
        <w:jc w:val="both"/>
      </w:pPr>
      <w:r w:rsidRPr="00EC0EC6">
        <w:lastRenderedPageBreak/>
        <w:t xml:space="preserve">Paula Diana Ciordas, Ionut Dragos Capraru, </w:t>
      </w:r>
      <w:r w:rsidRPr="00EC0EC6">
        <w:rPr>
          <w:b/>
          <w:bCs/>
        </w:rPr>
        <w:t>Mirabela Romanescu</w:t>
      </w:r>
      <w:r w:rsidRPr="00EC0EC6">
        <w:t>, Flavia Anghel</w:t>
      </w:r>
      <w:r>
        <w:t xml:space="preserve">, </w:t>
      </w:r>
      <w:r w:rsidRPr="00EC0EC6">
        <w:t>Cristian Oancea, Catalin Marian, Ioan Ovidiu Sirbu, Aimée Rodica Chis</w:t>
      </w:r>
      <w:r>
        <w:t>.</w:t>
      </w:r>
    </w:p>
    <w:p w:rsidR="00E709A9" w:rsidRDefault="00E709A9" w:rsidP="00E709A9">
      <w:pPr>
        <w:pStyle w:val="ListParagraph"/>
        <w:jc w:val="both"/>
      </w:pPr>
      <w:r>
        <w:t>International conference and XXXIX scientific session of the Romanian Society for Cell Biology (RSCB), 21-23 October 2022, Cluj-Napoca, Romania.</w:t>
      </w:r>
    </w:p>
    <w:p w:rsidR="00E709A9" w:rsidRPr="00960592" w:rsidRDefault="00E709A9" w:rsidP="00E709A9">
      <w:pPr>
        <w:pStyle w:val="ListParagraph"/>
        <w:jc w:val="both"/>
        <w:rPr>
          <w:lang w:val="ro-RO"/>
        </w:rPr>
      </w:pPr>
      <w:r>
        <w:t>Abstract and Poster</w:t>
      </w:r>
      <w:r w:rsidR="00B33151">
        <w:t xml:space="preserve"> (P4)</w:t>
      </w:r>
      <w:r>
        <w:t>.</w:t>
      </w:r>
    </w:p>
    <w:p w:rsidR="00E709A9" w:rsidRPr="00C830CC" w:rsidRDefault="00E709A9" w:rsidP="00CD4D9E">
      <w:pPr>
        <w:pStyle w:val="ListParagraph"/>
        <w:numPr>
          <w:ilvl w:val="0"/>
          <w:numId w:val="11"/>
        </w:numPr>
        <w:jc w:val="both"/>
        <w:rPr>
          <w:i/>
          <w:iCs/>
        </w:rPr>
      </w:pPr>
      <w:r w:rsidRPr="00C830CC">
        <w:rPr>
          <w:i/>
          <w:iCs/>
        </w:rPr>
        <w:t>Instrumental investigations regarding solid state compatibility between Levothyroxine Sodium and pharmaceutical excipient</w:t>
      </w:r>
      <w:r>
        <w:rPr>
          <w:i/>
          <w:iCs/>
        </w:rPr>
        <w:t>s.</w:t>
      </w:r>
    </w:p>
    <w:p w:rsidR="00E709A9" w:rsidRDefault="00E709A9" w:rsidP="00E709A9">
      <w:pPr>
        <w:pStyle w:val="ListParagraph"/>
        <w:jc w:val="both"/>
      </w:pPr>
      <w:r w:rsidRPr="00C830CC">
        <w:rPr>
          <w:b/>
          <w:bCs/>
        </w:rPr>
        <w:t>Mirabela Romanescu</w:t>
      </w:r>
      <w:r>
        <w:t xml:space="preserve">, Adriana Ledeți, Cornelia Muntean, Gabriela Vlase, Titus Vlase, Anca Dragomirescu, Lenuţa-Maria Şuta, Denisa Cîrcioban, Ionuț Ledeți. </w:t>
      </w:r>
    </w:p>
    <w:p w:rsidR="00E709A9" w:rsidRDefault="00E709A9" w:rsidP="00E709A9">
      <w:pPr>
        <w:pStyle w:val="ListParagraph"/>
        <w:jc w:val="both"/>
      </w:pPr>
      <w:r>
        <w:t>28th Symposium on Thermal Analysis and Calorimetry – Eugen Segal – of the Commission for Thermal Analysis and Calorimetry of the Romanian Academy (CATCAR28) &amp; 2nd Symposium on Thermal Analysis and Calorimetry of Moldova (MoldTAC2), 9-10 May 2019, West University of Timişoara, Timişoara, Romania.</w:t>
      </w:r>
    </w:p>
    <w:p w:rsidR="00E709A9" w:rsidRDefault="00E709A9" w:rsidP="00E709A9">
      <w:pPr>
        <w:pStyle w:val="ListParagraph"/>
        <w:jc w:val="both"/>
      </w:pPr>
      <w:r>
        <w:t>Abstract (Book of abstracts, ISBN 978-606-675-208-4, p. 44) and Poster</w:t>
      </w:r>
      <w:r w:rsidR="005D7076">
        <w:t xml:space="preserve"> (Poster Presentation 11)</w:t>
      </w:r>
      <w:r>
        <w:t>.</w:t>
      </w:r>
    </w:p>
    <w:p w:rsidR="00E709A9" w:rsidRPr="00C830CC" w:rsidRDefault="00E709A9" w:rsidP="00CD4D9E">
      <w:pPr>
        <w:pStyle w:val="ListParagraph"/>
        <w:numPr>
          <w:ilvl w:val="0"/>
          <w:numId w:val="11"/>
        </w:numPr>
        <w:jc w:val="both"/>
        <w:rPr>
          <w:i/>
          <w:iCs/>
        </w:rPr>
      </w:pPr>
      <w:r w:rsidRPr="00C830CC">
        <w:rPr>
          <w:i/>
          <w:iCs/>
        </w:rPr>
        <w:t>Compatibility study of Desogestrel with pharmaceutical excipients in solid state</w:t>
      </w:r>
      <w:r>
        <w:rPr>
          <w:i/>
          <w:iCs/>
        </w:rPr>
        <w:t>.</w:t>
      </w:r>
      <w:r w:rsidRPr="00C830CC">
        <w:rPr>
          <w:i/>
          <w:iCs/>
        </w:rPr>
        <w:t xml:space="preserve"> </w:t>
      </w:r>
    </w:p>
    <w:p w:rsidR="00E709A9" w:rsidRDefault="00E709A9" w:rsidP="00E709A9">
      <w:pPr>
        <w:pStyle w:val="ListParagraph"/>
        <w:jc w:val="both"/>
      </w:pPr>
      <w:r>
        <w:t xml:space="preserve">Adriana Ledeți, </w:t>
      </w:r>
      <w:r w:rsidRPr="00C830CC">
        <w:rPr>
          <w:b/>
          <w:bCs/>
        </w:rPr>
        <w:t>Mirabela Romanescu</w:t>
      </w:r>
      <w:r>
        <w:t xml:space="preserve">, Gabriela Vlase, Titus Vlase, Cornelia Muntean, Anca Dragomirescu, Lenuţa-Maria Şuta, Denisa Cîrcioban, Cezara Mureșan, Ionuț Ledeți. </w:t>
      </w:r>
    </w:p>
    <w:p w:rsidR="00E709A9" w:rsidRDefault="00E709A9" w:rsidP="00E709A9">
      <w:pPr>
        <w:pStyle w:val="ListParagraph"/>
        <w:jc w:val="both"/>
      </w:pPr>
      <w:r>
        <w:t>28th Symposium on Thermal Analysis and Calorimetry – Eugen Segal – of the Commission for Thermal Analysis and Calorimetry of the Romanian Academy (CATCAR28) &amp; 2nd Symposium on Thermal Analysis and Calorimetry of Moldova (MoldTAC2), 9-10 May 2019, West University of Timişoara, Timisoara, Romania.</w:t>
      </w:r>
    </w:p>
    <w:p w:rsidR="00E709A9" w:rsidRDefault="00E709A9" w:rsidP="00E709A9">
      <w:pPr>
        <w:pStyle w:val="ListParagraph"/>
        <w:jc w:val="both"/>
      </w:pPr>
      <w:r>
        <w:t>Abstract (Book of abstracts, ISBN 978-606-675-208-4, p. 39) and Poster</w:t>
      </w:r>
      <w:r w:rsidR="005D7076">
        <w:t xml:space="preserve"> (Poster Presentation 6)</w:t>
      </w:r>
      <w:r>
        <w:t>.</w:t>
      </w:r>
    </w:p>
    <w:p w:rsidR="00E709A9" w:rsidRPr="00C830CC" w:rsidRDefault="00E709A9" w:rsidP="00CD4D9E">
      <w:pPr>
        <w:pStyle w:val="ListParagraph"/>
        <w:numPr>
          <w:ilvl w:val="0"/>
          <w:numId w:val="11"/>
        </w:numPr>
        <w:jc w:val="both"/>
        <w:rPr>
          <w:i/>
          <w:iCs/>
        </w:rPr>
      </w:pPr>
      <w:r w:rsidRPr="00C830CC">
        <w:rPr>
          <w:i/>
          <w:iCs/>
        </w:rPr>
        <w:t>First report regarding the solid state compatibility between synthetic steroidal estrogen promestriene and pharmaceutical excipients</w:t>
      </w:r>
      <w:r>
        <w:rPr>
          <w:i/>
          <w:iCs/>
        </w:rPr>
        <w:t>.</w:t>
      </w:r>
      <w:r w:rsidRPr="00C830CC">
        <w:rPr>
          <w:i/>
          <w:iCs/>
        </w:rPr>
        <w:t xml:space="preserve"> </w:t>
      </w:r>
    </w:p>
    <w:p w:rsidR="00E709A9" w:rsidRDefault="00E709A9" w:rsidP="00E709A9">
      <w:pPr>
        <w:pStyle w:val="ListParagraph"/>
        <w:jc w:val="both"/>
      </w:pPr>
      <w:r>
        <w:t xml:space="preserve">Cosmina Bengescu, Anca Dragomirescu, Adriana Ledeți, </w:t>
      </w:r>
      <w:r w:rsidRPr="00C830CC">
        <w:rPr>
          <w:b/>
          <w:bCs/>
        </w:rPr>
        <w:t>Mirabela Romanescu</w:t>
      </w:r>
      <w:r>
        <w:t xml:space="preserve">, Gabriela Vlase, Titus Vlase, Lenuţa-Maria Şuta, Denisa Cîrcioban, Cornelia Muntean, Ionuț Ledeți. </w:t>
      </w:r>
    </w:p>
    <w:p w:rsidR="00E709A9" w:rsidRDefault="00E709A9" w:rsidP="00E709A9">
      <w:pPr>
        <w:pStyle w:val="ListParagraph"/>
        <w:jc w:val="both"/>
      </w:pPr>
      <w:r>
        <w:t>28th Symposium on Thermal Analysis and Calorimetry – Eugen Segal – of the Commission for Thermal Analysis and Calorimetry of the Romanian Academy (CATCAR28) &amp; 2nd Symposium on Thermal Analysis and Calorimetry of Moldova (MoldTAC2), 9-10 May 2019, West University of Timişoara, Timisoara, Romania.</w:t>
      </w:r>
    </w:p>
    <w:p w:rsidR="00E709A9" w:rsidRPr="00960592" w:rsidRDefault="00E709A9" w:rsidP="00E709A9">
      <w:pPr>
        <w:pStyle w:val="ListParagraph"/>
        <w:jc w:val="both"/>
        <w:rPr>
          <w:lang w:val="ro-RO"/>
        </w:rPr>
      </w:pPr>
      <w:r>
        <w:t>Abstract (Book of abstracts, ISBN 978-606-675-208-4, p. 35) and Poster</w:t>
      </w:r>
      <w:r w:rsidR="005D7076">
        <w:t xml:space="preserve"> (Poster Presentation 2)</w:t>
      </w:r>
      <w:r>
        <w:t xml:space="preserve">. </w:t>
      </w:r>
    </w:p>
    <w:p w:rsidR="00E709A9" w:rsidRDefault="00E709A9" w:rsidP="00E709A9">
      <w:pPr>
        <w:pStyle w:val="ECVLeftDetails"/>
        <w:jc w:val="left"/>
      </w:pPr>
    </w:p>
    <w:p w:rsidR="00E709A9" w:rsidRDefault="00E709A9" w:rsidP="00E709A9">
      <w:pPr>
        <w:pStyle w:val="ECVLeftDetails"/>
        <w:jc w:val="left"/>
      </w:pPr>
      <w:r>
        <w:t>Lucrări științifice premiate</w:t>
      </w:r>
    </w:p>
    <w:p w:rsidR="00E709A9" w:rsidRDefault="00E709A9" w:rsidP="00E709A9">
      <w:pPr>
        <w:pStyle w:val="ListParagraph"/>
        <w:numPr>
          <w:ilvl w:val="0"/>
          <w:numId w:val="6"/>
        </w:numPr>
        <w:jc w:val="both"/>
      </w:pPr>
      <w:r w:rsidRPr="00541D6C">
        <w:rPr>
          <w:b/>
          <w:bCs/>
        </w:rPr>
        <w:t>Mirabela Romanescu</w:t>
      </w:r>
      <w:r>
        <w:t>, Valentina Buda, Adelina Lombrea, Minodora Andor, Ionut Ledeti, Maria Suciu, Corina Danciu, Cristina Adriana Dehelean, Liana Dehelean. Sex-Related Differences in Pharmacological Response to CNS Drugs: A Narrative Review. Journal of Personalized Medicine. 2022. Award UEFISCDI PN-IV-P2-2.3-PRECISI-2023-69549.</w:t>
      </w:r>
      <w:r>
        <w:tab/>
      </w:r>
    </w:p>
    <w:p w:rsidR="00E709A9" w:rsidRDefault="00E709A9" w:rsidP="00E709A9">
      <w:pPr>
        <w:pStyle w:val="ListParagraph"/>
        <w:numPr>
          <w:ilvl w:val="0"/>
          <w:numId w:val="6"/>
        </w:numPr>
        <w:jc w:val="both"/>
      </w:pPr>
      <w:r>
        <w:t xml:space="preserve">Bianca Badescu, Valentina Buda, </w:t>
      </w:r>
      <w:r w:rsidRPr="00541D6C">
        <w:rPr>
          <w:b/>
          <w:bCs/>
        </w:rPr>
        <w:t>Mirabela Romanescu</w:t>
      </w:r>
      <w:r>
        <w:t>*, Adelina Lombrea, Corina Danciu, Olivia Dalleur, Angele Modupe Dohou, Victor Dumitrascu, Octavian Cretu, Monica Licker, Delia Muntean. Current State of Knowledge Regarding WHO Critical Priority Pathogens: Mechanisms of Resistance and Proposed Solutions through Candidates Such as Essential Oils. Plants. 2022. Award UEFISCDI PN-IV-P2-2.3-PRECISI-2023-80176.</w:t>
      </w:r>
    </w:p>
    <w:p w:rsidR="00E709A9" w:rsidRDefault="00E709A9" w:rsidP="00E709A9">
      <w:pPr>
        <w:pStyle w:val="ListParagraph"/>
        <w:numPr>
          <w:ilvl w:val="0"/>
          <w:numId w:val="6"/>
        </w:numPr>
        <w:jc w:val="both"/>
      </w:pPr>
      <w:r w:rsidRPr="00541D6C">
        <w:t xml:space="preserve">Ionut Ledeti, </w:t>
      </w:r>
      <w:r w:rsidRPr="00541D6C">
        <w:rPr>
          <w:b/>
          <w:bCs/>
        </w:rPr>
        <w:t>Mirabela Romanescu</w:t>
      </w:r>
      <w:r w:rsidRPr="00541D6C">
        <w:t>, Denisa Circioban, Adriana Ledeți, Gabriela Vlase, Titus Vlase, Oana Suciu, Marius Murariu, Sorin Olariu, Petru Matusz, Valentina Buda, Doina Piciu. Stability and Compatibility Studies of Levothyroxine Sodium in Solid Binary Systems—Instrumental Screening. Pharmaceutics. 2020. Award UEFISCDI PN-III-P1-1.1PRECISI-202050178</w:t>
      </w:r>
      <w:r>
        <w:t>.</w:t>
      </w:r>
      <w:r>
        <w:tab/>
      </w:r>
    </w:p>
    <w:p w:rsidR="00E709A9" w:rsidRDefault="00E709A9" w:rsidP="00E709A9">
      <w:pPr>
        <w:jc w:val="both"/>
      </w:pPr>
    </w:p>
    <w:p w:rsidR="00CD4D9E" w:rsidRPr="00CD4D9E" w:rsidRDefault="00C67721" w:rsidP="00E709A9">
      <w:pPr>
        <w:pStyle w:val="ECVLeftDetails"/>
        <w:jc w:val="left"/>
      </w:pPr>
      <w:r>
        <w:t>Certificate</w:t>
      </w:r>
    </w:p>
    <w:p w:rsidR="00C67721" w:rsidRPr="00C67721" w:rsidRDefault="00C67721" w:rsidP="00C67721">
      <w:pPr>
        <w:pStyle w:val="ListParagraph"/>
        <w:numPr>
          <w:ilvl w:val="0"/>
          <w:numId w:val="7"/>
        </w:numPr>
        <w:jc w:val="both"/>
      </w:pPr>
      <w:r w:rsidRPr="00CD4D9E">
        <w:rPr>
          <w:i/>
          <w:iCs/>
        </w:rPr>
        <w:t>FELASA accredited Course 056/16 - 9th Laboratory Animal Science European Union Functions Course.</w:t>
      </w:r>
      <w:r>
        <w:t xml:space="preserve"> </w:t>
      </w:r>
      <w:r w:rsidR="00CD4D9E">
        <w:t xml:space="preserve">Issued by </w:t>
      </w:r>
      <w:r w:rsidRPr="00C67721">
        <w:t>The Laboratory for Research of the Musculoskeletal System, School of Medicine, National &amp; Kapodistrian University of Athens</w:t>
      </w:r>
      <w:r w:rsidR="00CD4D9E">
        <w:t xml:space="preserve"> </w:t>
      </w:r>
      <w:r w:rsidR="00CD4D9E">
        <w:rPr>
          <w:lang w:val="ro-RO"/>
        </w:rPr>
        <w:t>on 0</w:t>
      </w:r>
      <w:r w:rsidR="00CD4D9E" w:rsidRPr="00C67721">
        <w:rPr>
          <w:lang w:val="ro-RO"/>
        </w:rPr>
        <w:t>2</w:t>
      </w:r>
      <w:r w:rsidR="00CD4D9E">
        <w:rPr>
          <w:lang w:val="ro-RO"/>
        </w:rPr>
        <w:t xml:space="preserve"> October </w:t>
      </w:r>
      <w:r w:rsidR="00CD4D9E" w:rsidRPr="00C67721">
        <w:rPr>
          <w:lang w:val="ro-RO"/>
        </w:rPr>
        <w:t>2023</w:t>
      </w:r>
      <w:r>
        <w:rPr>
          <w:lang w:val="ro-RO"/>
        </w:rPr>
        <w:t xml:space="preserve">. Certificate ID </w:t>
      </w:r>
      <w:r w:rsidRPr="00C67721">
        <w:rPr>
          <w:lang w:val="ro-RO"/>
        </w:rPr>
        <w:t>056/16_230924</w:t>
      </w:r>
      <w:r>
        <w:rPr>
          <w:lang w:val="ro-RO"/>
        </w:rPr>
        <w:t>.</w:t>
      </w:r>
    </w:p>
    <w:p w:rsidR="00C67721" w:rsidRPr="00C67721" w:rsidRDefault="00C67721" w:rsidP="00C67721">
      <w:pPr>
        <w:pStyle w:val="ListParagraph"/>
        <w:numPr>
          <w:ilvl w:val="0"/>
          <w:numId w:val="7"/>
        </w:numPr>
        <w:jc w:val="both"/>
      </w:pPr>
      <w:r w:rsidRPr="00CD4D9E">
        <w:rPr>
          <w:i/>
          <w:iCs/>
        </w:rPr>
        <w:t>First Certificate in English Level C1.</w:t>
      </w:r>
      <w:r>
        <w:t xml:space="preserve"> </w:t>
      </w:r>
      <w:r w:rsidR="00CD4D9E">
        <w:t xml:space="preserve">Issued by </w:t>
      </w:r>
      <w:r w:rsidRPr="00C67721">
        <w:t>Cambridge English Language Assessment</w:t>
      </w:r>
      <w:r w:rsidR="00CD4D9E">
        <w:t xml:space="preserve"> on </w:t>
      </w:r>
      <w:r w:rsidR="00CD4D9E">
        <w:rPr>
          <w:lang w:val="ro-RO"/>
        </w:rPr>
        <w:t xml:space="preserve">18 April 2017. Certificate ID </w:t>
      </w:r>
      <w:r w:rsidR="00CD4D9E" w:rsidRPr="00CD4D9E">
        <w:rPr>
          <w:lang w:val="ro-RO"/>
        </w:rPr>
        <w:t>57081146</w:t>
      </w:r>
      <w:r w:rsidR="00CD4D9E">
        <w:rPr>
          <w:lang w:val="ro-RO"/>
        </w:rPr>
        <w:t>.</w:t>
      </w:r>
    </w:p>
    <w:p w:rsidR="00C67721" w:rsidRDefault="00C67721" w:rsidP="00CD4D9E">
      <w:pPr>
        <w:pStyle w:val="ListParagraph"/>
        <w:jc w:val="both"/>
      </w:pPr>
    </w:p>
    <w:p w:rsidR="00C67721" w:rsidRDefault="00E709A9" w:rsidP="00CD4D9E">
      <w:pPr>
        <w:pStyle w:val="ECVLeftDetails"/>
        <w:jc w:val="left"/>
      </w:pPr>
      <w:r>
        <w:t>Cursuri</w:t>
      </w:r>
      <w:r w:rsidR="00C67721">
        <w:t xml:space="preserve"> internaționale</w:t>
      </w:r>
    </w:p>
    <w:p w:rsidR="007D6834" w:rsidRPr="00CD4D9E" w:rsidRDefault="007D6834" w:rsidP="00CD4D9E">
      <w:pPr>
        <w:pStyle w:val="ListParagraph"/>
        <w:numPr>
          <w:ilvl w:val="0"/>
          <w:numId w:val="9"/>
        </w:numPr>
        <w:jc w:val="both"/>
      </w:pPr>
      <w:r w:rsidRPr="00CD4D9E">
        <w:rPr>
          <w:i/>
          <w:iCs/>
        </w:rPr>
        <w:t>Metagenomics bioinformatics at MGnify</w:t>
      </w:r>
      <w:r w:rsidR="00C67721" w:rsidRPr="00CD4D9E">
        <w:rPr>
          <w:i/>
          <w:iCs/>
        </w:rPr>
        <w:t xml:space="preserve">. </w:t>
      </w:r>
      <w:r w:rsidRPr="007D6834">
        <w:t>European Molecular Biology Laboratory - European Bioinformatics Institute (EMBL-EBI)</w:t>
      </w:r>
      <w:r w:rsidR="00C67721">
        <w:t xml:space="preserve">, 9-13 November 2023, </w:t>
      </w:r>
      <w:r w:rsidR="00C67721" w:rsidRPr="00C67721">
        <w:t>Hinxton - Cambridge, United Kingdom</w:t>
      </w:r>
      <w:r w:rsidR="00C67721">
        <w:t>.</w:t>
      </w:r>
    </w:p>
    <w:p w:rsidR="00C67721" w:rsidRPr="00C67721" w:rsidRDefault="00C67721" w:rsidP="00CD4D9E">
      <w:pPr>
        <w:pStyle w:val="ListParagraph"/>
        <w:numPr>
          <w:ilvl w:val="0"/>
          <w:numId w:val="9"/>
        </w:numPr>
        <w:jc w:val="both"/>
      </w:pPr>
      <w:r w:rsidRPr="00CD4D9E">
        <w:rPr>
          <w:i/>
          <w:iCs/>
        </w:rPr>
        <w:t>Enrichment Analysis.</w:t>
      </w:r>
      <w:r>
        <w:t xml:space="preserve"> </w:t>
      </w:r>
      <w:r w:rsidRPr="00C67721">
        <w:t>Swiss Institute of Bioinformatics (SIB), 23 June 2023, online.</w:t>
      </w:r>
    </w:p>
    <w:p w:rsidR="00C67721" w:rsidRPr="00C67721" w:rsidRDefault="00C67721" w:rsidP="00CD4D9E">
      <w:pPr>
        <w:pStyle w:val="ListParagraph"/>
        <w:numPr>
          <w:ilvl w:val="0"/>
          <w:numId w:val="9"/>
        </w:numPr>
        <w:jc w:val="both"/>
      </w:pPr>
      <w:r w:rsidRPr="00CD4D9E">
        <w:rPr>
          <w:i/>
          <w:iCs/>
        </w:rPr>
        <w:t>GTN Smörgåsbord 3.</w:t>
      </w:r>
      <w:r>
        <w:t xml:space="preserve"> </w:t>
      </w:r>
      <w:r w:rsidRPr="00C67721">
        <w:t>Galaxy Training Network, 22-26 May 2023, online.</w:t>
      </w:r>
    </w:p>
    <w:p w:rsidR="00C67721" w:rsidRDefault="00E709A9" w:rsidP="00CD4D9E">
      <w:pPr>
        <w:pStyle w:val="ListParagraph"/>
        <w:numPr>
          <w:ilvl w:val="0"/>
          <w:numId w:val="9"/>
        </w:numPr>
        <w:jc w:val="both"/>
      </w:pPr>
      <w:r w:rsidRPr="00CD4D9E">
        <w:rPr>
          <w:i/>
          <w:iCs/>
        </w:rPr>
        <w:t>Computing skills for reproductive research</w:t>
      </w:r>
      <w:r w:rsidRPr="00CD4D9E">
        <w:rPr>
          <w:i/>
          <w:iCs/>
          <w:lang w:val="en-US"/>
        </w:rPr>
        <w:t xml:space="preserve">: </w:t>
      </w:r>
      <w:r>
        <w:rPr>
          <w:lang w:val="en-US"/>
        </w:rPr>
        <w:t>Data Carpentry</w:t>
      </w:r>
      <w:r w:rsidR="007D6834">
        <w:rPr>
          <w:lang w:val="en-US"/>
        </w:rPr>
        <w:t>.</w:t>
      </w:r>
      <w:r w:rsidR="00C67721">
        <w:rPr>
          <w:lang w:val="en-US"/>
        </w:rPr>
        <w:t xml:space="preserve"> </w:t>
      </w:r>
      <w:r w:rsidR="007D6834" w:rsidRPr="007D6834">
        <w:t>European Molecular Biology Laboratory (EMBL)</w:t>
      </w:r>
      <w:r w:rsidR="007D6834">
        <w:t>, 24-27 January 2023, Heidelberg, Germany</w:t>
      </w:r>
      <w:r>
        <w:t>.</w:t>
      </w:r>
      <w:r>
        <w:tab/>
      </w:r>
    </w:p>
    <w:p w:rsidR="007D6834" w:rsidRDefault="007D6834" w:rsidP="00C67721">
      <w:pPr>
        <w:jc w:val="both"/>
      </w:pPr>
    </w:p>
    <w:p w:rsidR="00C67721" w:rsidRPr="00C67721" w:rsidRDefault="00C67721" w:rsidP="00C67721">
      <w:pPr>
        <w:jc w:val="both"/>
        <w:rPr>
          <w:color w:val="0E4194"/>
          <w:sz w:val="18"/>
        </w:rPr>
      </w:pPr>
      <w:r w:rsidRPr="00C67721">
        <w:rPr>
          <w:color w:val="0E4194"/>
          <w:sz w:val="18"/>
        </w:rPr>
        <w:t>Workshop-uri și cursuri naționale</w:t>
      </w:r>
    </w:p>
    <w:p w:rsidR="00C67721" w:rsidRDefault="00C67721" w:rsidP="00C67721">
      <w:pPr>
        <w:pStyle w:val="ListParagraph"/>
        <w:numPr>
          <w:ilvl w:val="0"/>
          <w:numId w:val="8"/>
        </w:numPr>
        <w:jc w:val="both"/>
      </w:pPr>
      <w:r w:rsidRPr="00CD4D9E">
        <w:rPr>
          <w:i/>
          <w:iCs/>
        </w:rPr>
        <w:t>New Trends in Preclinical Research</w:t>
      </w:r>
      <w:r w:rsidRPr="00CD4D9E">
        <w:rPr>
          <w:i/>
          <w:iCs/>
          <w:lang w:val="ro-RO"/>
        </w:rPr>
        <w:t>.</w:t>
      </w:r>
      <w:r>
        <w:rPr>
          <w:lang w:val="ro-RO"/>
        </w:rPr>
        <w:t xml:space="preserve"> Școala Doctorală a Universității de Medicină și Farmacie Victor Babeș din Timișoara, 13-15 December 2023, Timisoara, Romania</w:t>
      </w:r>
    </w:p>
    <w:p w:rsidR="00C67721" w:rsidRDefault="00C67721" w:rsidP="00C67721">
      <w:pPr>
        <w:pStyle w:val="ListParagraph"/>
        <w:numPr>
          <w:ilvl w:val="0"/>
          <w:numId w:val="8"/>
        </w:numPr>
        <w:jc w:val="both"/>
      </w:pPr>
      <w:r w:rsidRPr="00CD4D9E">
        <w:rPr>
          <w:i/>
          <w:iCs/>
        </w:rPr>
        <w:t xml:space="preserve">Curs practic de genomica a patogenilor. </w:t>
      </w:r>
      <w:r w:rsidRPr="00C67721">
        <w:t>Centrul de Formare Continua, Invatamant la Distanta si cu Frecventa redusa, Universitatea Babes-Bolyai</w:t>
      </w:r>
      <w:r>
        <w:t>, 23-25 November 2023, Cluj-Napoca, Romania.</w:t>
      </w:r>
    </w:p>
    <w:p w:rsidR="008E3197" w:rsidRDefault="008E3197" w:rsidP="008E3197">
      <w:pPr>
        <w:jc w:val="both"/>
      </w:pPr>
    </w:p>
    <w:p w:rsidR="008E3197" w:rsidRPr="00D91311" w:rsidRDefault="008E3197" w:rsidP="008E3197">
      <w:pPr>
        <w:jc w:val="both"/>
        <w:rPr>
          <w:color w:val="0E4194"/>
          <w:sz w:val="18"/>
        </w:rPr>
      </w:pPr>
      <w:r w:rsidRPr="00D91311">
        <w:rPr>
          <w:color w:val="0E4194"/>
          <w:sz w:val="18"/>
        </w:rPr>
        <w:t>Premii și distincții</w:t>
      </w:r>
    </w:p>
    <w:p w:rsidR="008E3197" w:rsidRDefault="00D91311" w:rsidP="008E3197">
      <w:pPr>
        <w:pStyle w:val="ListParagraph"/>
        <w:numPr>
          <w:ilvl w:val="0"/>
          <w:numId w:val="12"/>
        </w:numPr>
        <w:jc w:val="both"/>
      </w:pPr>
      <w:r>
        <w:t>Best Poster Award. TimMed International Conference. Student e-Poster Session, 07 March 2019, Timisoara, Romania</w:t>
      </w:r>
      <w:r w:rsidR="00960592">
        <w:t>.</w:t>
      </w:r>
    </w:p>
    <w:p w:rsidR="008E3197" w:rsidRDefault="008E3197" w:rsidP="008E3197">
      <w:pPr>
        <w:pStyle w:val="ListParagraph"/>
        <w:numPr>
          <w:ilvl w:val="0"/>
          <w:numId w:val="12"/>
        </w:numPr>
        <w:jc w:val="both"/>
      </w:pPr>
      <w:r>
        <w:t>Certificat Student Eminent</w:t>
      </w:r>
      <w:r w:rsidR="00D91311">
        <w:t xml:space="preserve">, </w:t>
      </w:r>
      <w:r w:rsidR="00960592">
        <w:t xml:space="preserve">04 December 2019, </w:t>
      </w:r>
      <w:r w:rsidR="00D91311">
        <w:t>Timisoara, Romania</w:t>
      </w:r>
    </w:p>
    <w:p w:rsidR="00960592" w:rsidRDefault="00960592" w:rsidP="00960592">
      <w:pPr>
        <w:pStyle w:val="ListParagraph"/>
        <w:numPr>
          <w:ilvl w:val="0"/>
          <w:numId w:val="12"/>
        </w:numPr>
        <w:jc w:val="both"/>
      </w:pPr>
      <w:r>
        <w:t>Premiul 3 Concurs Farmacia Viitorului, 2019, Bucharest, Romania.</w:t>
      </w:r>
    </w:p>
    <w:p w:rsidR="00C67721" w:rsidRDefault="00C67721" w:rsidP="00C67721">
      <w:pPr>
        <w:jc w:val="both"/>
      </w:pPr>
    </w:p>
    <w:p w:rsidR="00E709A9" w:rsidRPr="00E709A9" w:rsidRDefault="00E709A9" w:rsidP="00E709A9">
      <w:pPr>
        <w:pStyle w:val="ECVLeftDetails"/>
        <w:jc w:val="left"/>
      </w:pPr>
    </w:p>
    <w:p w:rsidR="00E709A9" w:rsidRDefault="00E709A9" w:rsidP="00E709A9">
      <w:pPr>
        <w:jc w:val="both"/>
      </w:pPr>
    </w:p>
    <w:p w:rsidR="00E709A9" w:rsidRDefault="00E709A9" w:rsidP="00E709A9">
      <w:pPr>
        <w:pStyle w:val="ECVLeftDetails"/>
        <w:jc w:val="left"/>
      </w:pPr>
    </w:p>
    <w:p w:rsidR="008C16D4" w:rsidRDefault="008C16D4">
      <w:pPr>
        <w:pStyle w:val="ECVText"/>
      </w:pPr>
    </w:p>
    <w:p w:rsidR="008C16D4" w:rsidRDefault="008C16D4">
      <w:pPr>
        <w:pStyle w:val="ECVText"/>
      </w:pPr>
    </w:p>
    <w:p w:rsidR="008C16D4" w:rsidRDefault="008C16D4"/>
    <w:sectPr w:rsidR="008C16D4">
      <w:headerReference w:type="even" r:id="rId10"/>
      <w:headerReference w:type="default" r:id="rId11"/>
      <w:footerReference w:type="even" r:id="rId12"/>
      <w:footerReference w:type="default" r:id="rId13"/>
      <w:headerReference w:type="first" r:id="rId14"/>
      <w:footerReference w:type="first" r:id="rId15"/>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A2B" w:rsidRDefault="00137A2B">
      <w:r>
        <w:separator/>
      </w:r>
    </w:p>
  </w:endnote>
  <w:endnote w:type="continuationSeparator" w:id="0">
    <w:p w:rsidR="00137A2B" w:rsidRDefault="00137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Uniunea Europeană, 2002-201</w:t>
    </w:r>
    <w:r w:rsidR="00327E98">
      <w:rPr>
        <w:rFonts w:ascii="ArialMT" w:eastAsia="ArialMT" w:hAnsi="ArialMT" w:cs="ArialMT"/>
        <w:sz w:val="14"/>
        <w:szCs w:val="14"/>
      </w:rPr>
      <w:t>8</w:t>
    </w:r>
    <w:r>
      <w:rPr>
        <w:rFonts w:ascii="ArialMT" w:eastAsia="ArialMT" w:hAnsi="ArialMT" w:cs="ArialMT"/>
        <w:sz w:val="14"/>
        <w:szCs w:val="14"/>
      </w:rPr>
      <w:t xml:space="preserve">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0704B3">
      <w:rPr>
        <w:rFonts w:eastAsia="ArialMT" w:cs="ArialMT"/>
        <w:noProof/>
        <w:sz w:val="14"/>
        <w:szCs w:val="14"/>
      </w:rPr>
      <w:t>4</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0704B3">
      <w:rPr>
        <w:rFonts w:eastAsia="ArialMT" w:cs="ArialMT"/>
        <w:noProof/>
        <w:sz w:val="14"/>
        <w:szCs w:val="14"/>
      </w:rPr>
      <w:t>4</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xml:space="preserve">© Uniunea Europeană, 2002-2015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0704B3">
      <w:rPr>
        <w:rFonts w:eastAsia="ArialMT" w:cs="ArialMT"/>
        <w:noProof/>
        <w:sz w:val="14"/>
        <w:szCs w:val="14"/>
      </w:rPr>
      <w:t>3</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0704B3">
      <w:rPr>
        <w:rFonts w:eastAsia="ArialMT" w:cs="ArialMT"/>
        <w:noProof/>
        <w:sz w:val="14"/>
        <w:szCs w:val="14"/>
      </w:rPr>
      <w:t>4</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D19" w:rsidRDefault="00805D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A2B" w:rsidRDefault="00137A2B">
      <w:r>
        <w:separator/>
      </w:r>
    </w:p>
  </w:footnote>
  <w:footnote w:type="continuationSeparator" w:id="0">
    <w:p w:rsidR="00137A2B" w:rsidRDefault="00137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6D4" w:rsidRDefault="003D3A8F" w:rsidP="00CA6042">
    <w:pPr>
      <w:pStyle w:val="ECVCurriculumVitaeNextPages"/>
    </w:pPr>
    <w:r>
      <w:rPr>
        <w:noProof/>
        <w:lang w:val="en-US" w:eastAsia="en-US" w:bidi="ar-SA"/>
      </w:rPr>
      <w:drawing>
        <wp:anchor distT="0" distB="0" distL="0" distR="0" simplePos="0" relativeHeight="251658752" behindDoc="0" locked="0" layoutInCell="1" allowOverlap="1">
          <wp:simplePos x="0" y="0"/>
          <wp:positionH relativeFrom="column">
            <wp:posOffset>0</wp:posOffset>
          </wp:positionH>
          <wp:positionV relativeFrom="paragraph">
            <wp:posOffset>0</wp:posOffset>
          </wp:positionV>
          <wp:extent cx="993140" cy="287655"/>
          <wp:effectExtent l="0" t="0" r="0" b="0"/>
          <wp:wrapSquare wrapText="bothSides"/>
          <wp:docPr id="9149868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C16D4">
      <w:t xml:space="preserve"> </w:t>
    </w:r>
    <w:r w:rsidR="008C16D4">
      <w:tab/>
      <w:t xml:space="preserve"> </w:t>
    </w:r>
    <w:r w:rsidR="008C16D4">
      <w:rPr>
        <w:szCs w:val="20"/>
      </w:rPr>
      <w:t xml:space="preserve">Curriculum Vitae </w:t>
    </w:r>
    <w:r w:rsidR="008C16D4">
      <w:rPr>
        <w:szCs w:val="20"/>
      </w:rPr>
      <w:tab/>
      <w:t xml:space="preserve"> </w:t>
    </w:r>
    <w:r w:rsidR="00CA6042">
      <w:rPr>
        <w:szCs w:val="20"/>
      </w:rPr>
      <w:t>Romanescu Mirabela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9A9" w:rsidRDefault="003D3A8F" w:rsidP="00E709A9">
    <w:pPr>
      <w:pStyle w:val="ECVCurriculumVitaeNextPages"/>
      <w:rPr>
        <w:szCs w:val="20"/>
      </w:rPr>
    </w:pPr>
    <w:r>
      <w:rPr>
        <w:noProof/>
        <w:lang w:val="en-US" w:eastAsia="en-US" w:bidi="ar-SA"/>
      </w:rPr>
      <w:drawing>
        <wp:anchor distT="0" distB="0" distL="0" distR="0" simplePos="0" relativeHeight="251656704" behindDoc="0" locked="0" layoutInCell="1" allowOverlap="1">
          <wp:simplePos x="0" y="0"/>
          <wp:positionH relativeFrom="column">
            <wp:posOffset>0</wp:posOffset>
          </wp:positionH>
          <wp:positionV relativeFrom="paragraph">
            <wp:posOffset>0</wp:posOffset>
          </wp:positionV>
          <wp:extent cx="993140" cy="287655"/>
          <wp:effectExtent l="0" t="0" r="0" b="0"/>
          <wp:wrapSquare wrapText="bothSides"/>
          <wp:docPr id="95938015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C16D4">
      <w:t xml:space="preserve"> </w:t>
    </w:r>
    <w:r w:rsidR="008C16D4">
      <w:tab/>
      <w:t xml:space="preserve"> </w:t>
    </w:r>
    <w:r w:rsidR="008C16D4">
      <w:rPr>
        <w:szCs w:val="20"/>
      </w:rPr>
      <w:t xml:space="preserve">Curriculum Vitae </w:t>
    </w:r>
    <w:r w:rsidR="008C16D4">
      <w:rPr>
        <w:szCs w:val="20"/>
      </w:rPr>
      <w:tab/>
      <w:t xml:space="preserve"> </w:t>
    </w:r>
    <w:r w:rsidR="00E709A9">
      <w:rPr>
        <w:szCs w:val="20"/>
      </w:rPr>
      <w:t>Romanescu Mirabela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6D4" w:rsidRDefault="008C16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08D74CAD"/>
    <w:multiLevelType w:val="hybridMultilevel"/>
    <w:tmpl w:val="A08830EE"/>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A49D7"/>
    <w:multiLevelType w:val="hybridMultilevel"/>
    <w:tmpl w:val="0DC6B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B05961"/>
    <w:multiLevelType w:val="hybridMultilevel"/>
    <w:tmpl w:val="FA843C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831D2C"/>
    <w:multiLevelType w:val="hybridMultilevel"/>
    <w:tmpl w:val="C7244C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817495"/>
    <w:multiLevelType w:val="hybridMultilevel"/>
    <w:tmpl w:val="2DBCEC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225287"/>
    <w:multiLevelType w:val="hybridMultilevel"/>
    <w:tmpl w:val="2DBCEC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E231891"/>
    <w:multiLevelType w:val="hybridMultilevel"/>
    <w:tmpl w:val="D49C07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8F55CC"/>
    <w:multiLevelType w:val="hybridMultilevel"/>
    <w:tmpl w:val="784C74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455567A"/>
    <w:multiLevelType w:val="hybridMultilevel"/>
    <w:tmpl w:val="7DA0E9A2"/>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DB5535"/>
    <w:multiLevelType w:val="hybridMultilevel"/>
    <w:tmpl w:val="2DBCEC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9"/>
  </w:num>
  <w:num w:numId="5">
    <w:abstractNumId w:val="4"/>
  </w:num>
  <w:num w:numId="6">
    <w:abstractNumId w:val="6"/>
  </w:num>
  <w:num w:numId="7">
    <w:abstractNumId w:val="7"/>
  </w:num>
  <w:num w:numId="8">
    <w:abstractNumId w:val="11"/>
  </w:num>
  <w:num w:numId="9">
    <w:abstractNumId w:val="5"/>
  </w:num>
  <w:num w:numId="10">
    <w:abstractNumId w:val="10"/>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C5"/>
    <w:rsid w:val="000704B3"/>
    <w:rsid w:val="00137A2B"/>
    <w:rsid w:val="00170725"/>
    <w:rsid w:val="00286EEB"/>
    <w:rsid w:val="002C3340"/>
    <w:rsid w:val="00327E98"/>
    <w:rsid w:val="003A1A24"/>
    <w:rsid w:val="003D3A8F"/>
    <w:rsid w:val="003E49CB"/>
    <w:rsid w:val="004361B9"/>
    <w:rsid w:val="004451D8"/>
    <w:rsid w:val="004534F0"/>
    <w:rsid w:val="004F49B4"/>
    <w:rsid w:val="005D7076"/>
    <w:rsid w:val="0061592F"/>
    <w:rsid w:val="00635E5E"/>
    <w:rsid w:val="00637809"/>
    <w:rsid w:val="007B286D"/>
    <w:rsid w:val="007D6834"/>
    <w:rsid w:val="007F38E2"/>
    <w:rsid w:val="00805D19"/>
    <w:rsid w:val="008C16D4"/>
    <w:rsid w:val="008D0967"/>
    <w:rsid w:val="008E3197"/>
    <w:rsid w:val="00931234"/>
    <w:rsid w:val="00960592"/>
    <w:rsid w:val="00975ADD"/>
    <w:rsid w:val="00997726"/>
    <w:rsid w:val="00AC7214"/>
    <w:rsid w:val="00B33151"/>
    <w:rsid w:val="00B417C5"/>
    <w:rsid w:val="00BA1BCB"/>
    <w:rsid w:val="00C23834"/>
    <w:rsid w:val="00C67721"/>
    <w:rsid w:val="00CA6042"/>
    <w:rsid w:val="00CD4D9E"/>
    <w:rsid w:val="00D91311"/>
    <w:rsid w:val="00E67660"/>
    <w:rsid w:val="00E709A9"/>
    <w:rsid w:val="00F75067"/>
    <w:rsid w:val="00FC4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F85897A1-CA37-BC4A-B8C9-AB559E20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ro-RO" w:eastAsia="hi-I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paragraph" w:customStyle="1" w:styleId="EuropassSectionDetails">
    <w:name w:val="Europass_SectionDetails"/>
    <w:basedOn w:val="Normal"/>
    <w:pPr>
      <w:suppressLineNumbers/>
      <w:autoSpaceDE w:val="0"/>
      <w:spacing w:before="28" w:after="56" w:line="100" w:lineRule="atLeast"/>
    </w:pPr>
    <w:rPr>
      <w:sz w:val="18"/>
    </w:rPr>
  </w:style>
  <w:style w:type="paragraph" w:styleId="ListParagraph">
    <w:name w:val="List Paragraph"/>
    <w:basedOn w:val="Normal"/>
    <w:uiPriority w:val="34"/>
    <w:qFormat/>
    <w:rsid w:val="00E709A9"/>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1485">
      <w:bodyDiv w:val="1"/>
      <w:marLeft w:val="0"/>
      <w:marRight w:val="0"/>
      <w:marTop w:val="0"/>
      <w:marBottom w:val="0"/>
      <w:divBdr>
        <w:top w:val="none" w:sz="0" w:space="0" w:color="auto"/>
        <w:left w:val="none" w:sz="0" w:space="0" w:color="auto"/>
        <w:bottom w:val="none" w:sz="0" w:space="0" w:color="auto"/>
        <w:right w:val="none" w:sz="0" w:space="0" w:color="auto"/>
      </w:divBdr>
    </w:div>
    <w:div w:id="477920408">
      <w:bodyDiv w:val="1"/>
      <w:marLeft w:val="0"/>
      <w:marRight w:val="0"/>
      <w:marTop w:val="0"/>
      <w:marBottom w:val="0"/>
      <w:divBdr>
        <w:top w:val="none" w:sz="0" w:space="0" w:color="auto"/>
        <w:left w:val="none" w:sz="0" w:space="0" w:color="auto"/>
        <w:bottom w:val="none" w:sz="0" w:space="0" w:color="auto"/>
        <w:right w:val="none" w:sz="0" w:space="0" w:color="auto"/>
      </w:divBdr>
    </w:div>
    <w:div w:id="600261672">
      <w:bodyDiv w:val="1"/>
      <w:marLeft w:val="0"/>
      <w:marRight w:val="0"/>
      <w:marTop w:val="0"/>
      <w:marBottom w:val="0"/>
      <w:divBdr>
        <w:top w:val="none" w:sz="0" w:space="0" w:color="auto"/>
        <w:left w:val="none" w:sz="0" w:space="0" w:color="auto"/>
        <w:bottom w:val="none" w:sz="0" w:space="0" w:color="auto"/>
        <w:right w:val="none" w:sz="0" w:space="0" w:color="auto"/>
      </w:divBdr>
    </w:div>
    <w:div w:id="834226647">
      <w:bodyDiv w:val="1"/>
      <w:marLeft w:val="0"/>
      <w:marRight w:val="0"/>
      <w:marTop w:val="0"/>
      <w:marBottom w:val="0"/>
      <w:divBdr>
        <w:top w:val="none" w:sz="0" w:space="0" w:color="auto"/>
        <w:left w:val="none" w:sz="0" w:space="0" w:color="auto"/>
        <w:bottom w:val="none" w:sz="0" w:space="0" w:color="auto"/>
        <w:right w:val="none" w:sz="0" w:space="0" w:color="auto"/>
      </w:divBdr>
    </w:div>
    <w:div w:id="1128091557">
      <w:bodyDiv w:val="1"/>
      <w:marLeft w:val="0"/>
      <w:marRight w:val="0"/>
      <w:marTop w:val="0"/>
      <w:marBottom w:val="0"/>
      <w:divBdr>
        <w:top w:val="none" w:sz="0" w:space="0" w:color="auto"/>
        <w:left w:val="none" w:sz="0" w:space="0" w:color="auto"/>
        <w:bottom w:val="none" w:sz="0" w:space="0" w:color="auto"/>
        <w:right w:val="none" w:sz="0" w:space="0" w:color="auto"/>
      </w:divBdr>
    </w:div>
    <w:div w:id="1185245888">
      <w:bodyDiv w:val="1"/>
      <w:marLeft w:val="0"/>
      <w:marRight w:val="0"/>
      <w:marTop w:val="0"/>
      <w:marBottom w:val="0"/>
      <w:divBdr>
        <w:top w:val="none" w:sz="0" w:space="0" w:color="auto"/>
        <w:left w:val="none" w:sz="0" w:space="0" w:color="auto"/>
        <w:bottom w:val="none" w:sz="0" w:space="0" w:color="auto"/>
        <w:right w:val="none" w:sz="0" w:space="0" w:color="auto"/>
      </w:divBdr>
    </w:div>
    <w:div w:id="1266499055">
      <w:bodyDiv w:val="1"/>
      <w:marLeft w:val="0"/>
      <w:marRight w:val="0"/>
      <w:marTop w:val="0"/>
      <w:marBottom w:val="0"/>
      <w:divBdr>
        <w:top w:val="none" w:sz="0" w:space="0" w:color="auto"/>
        <w:left w:val="none" w:sz="0" w:space="0" w:color="auto"/>
        <w:bottom w:val="none" w:sz="0" w:space="0" w:color="auto"/>
        <w:right w:val="none" w:sz="0" w:space="0" w:color="auto"/>
      </w:divBdr>
    </w:div>
    <w:div w:id="1502887534">
      <w:bodyDiv w:val="1"/>
      <w:marLeft w:val="0"/>
      <w:marRight w:val="0"/>
      <w:marTop w:val="0"/>
      <w:marBottom w:val="0"/>
      <w:divBdr>
        <w:top w:val="none" w:sz="0" w:space="0" w:color="auto"/>
        <w:left w:val="none" w:sz="0" w:space="0" w:color="auto"/>
        <w:bottom w:val="none" w:sz="0" w:space="0" w:color="auto"/>
        <w:right w:val="none" w:sz="0" w:space="0" w:color="auto"/>
      </w:divBdr>
    </w:div>
    <w:div w:id="1542937686">
      <w:bodyDiv w:val="1"/>
      <w:marLeft w:val="0"/>
      <w:marRight w:val="0"/>
      <w:marTop w:val="0"/>
      <w:marBottom w:val="0"/>
      <w:divBdr>
        <w:top w:val="none" w:sz="0" w:space="0" w:color="auto"/>
        <w:left w:val="none" w:sz="0" w:space="0" w:color="auto"/>
        <w:bottom w:val="none" w:sz="0" w:space="0" w:color="auto"/>
        <w:right w:val="none" w:sz="0" w:space="0" w:color="auto"/>
      </w:divBdr>
    </w:div>
    <w:div w:id="1580095086">
      <w:bodyDiv w:val="1"/>
      <w:marLeft w:val="0"/>
      <w:marRight w:val="0"/>
      <w:marTop w:val="0"/>
      <w:marBottom w:val="0"/>
      <w:divBdr>
        <w:top w:val="none" w:sz="0" w:space="0" w:color="auto"/>
        <w:left w:val="none" w:sz="0" w:space="0" w:color="auto"/>
        <w:bottom w:val="none" w:sz="0" w:space="0" w:color="auto"/>
        <w:right w:val="none" w:sz="0" w:space="0" w:color="auto"/>
      </w:divBdr>
    </w:div>
    <w:div w:id="1767967549">
      <w:bodyDiv w:val="1"/>
      <w:marLeft w:val="0"/>
      <w:marRight w:val="0"/>
      <w:marTop w:val="0"/>
      <w:marBottom w:val="0"/>
      <w:divBdr>
        <w:top w:val="none" w:sz="0" w:space="0" w:color="auto"/>
        <w:left w:val="none" w:sz="0" w:space="0" w:color="auto"/>
        <w:bottom w:val="none" w:sz="0" w:space="0" w:color="auto"/>
        <w:right w:val="none" w:sz="0" w:space="0" w:color="auto"/>
      </w:divBdr>
    </w:div>
    <w:div w:id="1831826725">
      <w:bodyDiv w:val="1"/>
      <w:marLeft w:val="0"/>
      <w:marRight w:val="0"/>
      <w:marTop w:val="0"/>
      <w:marBottom w:val="0"/>
      <w:divBdr>
        <w:top w:val="none" w:sz="0" w:space="0" w:color="auto"/>
        <w:left w:val="none" w:sz="0" w:space="0" w:color="auto"/>
        <w:bottom w:val="none" w:sz="0" w:space="0" w:color="auto"/>
        <w:right w:val="none" w:sz="0" w:space="0" w:color="auto"/>
      </w:divBdr>
    </w:div>
    <w:div w:id="1906256887">
      <w:bodyDiv w:val="1"/>
      <w:marLeft w:val="0"/>
      <w:marRight w:val="0"/>
      <w:marTop w:val="0"/>
      <w:marBottom w:val="0"/>
      <w:divBdr>
        <w:top w:val="none" w:sz="0" w:space="0" w:color="auto"/>
        <w:left w:val="none" w:sz="0" w:space="0" w:color="auto"/>
        <w:bottom w:val="none" w:sz="0" w:space="0" w:color="auto"/>
        <w:right w:val="none" w:sz="0" w:space="0" w:color="auto"/>
      </w:divBdr>
    </w:div>
    <w:div w:id="1951277193">
      <w:bodyDiv w:val="1"/>
      <w:marLeft w:val="0"/>
      <w:marRight w:val="0"/>
      <w:marTop w:val="0"/>
      <w:marBottom w:val="0"/>
      <w:divBdr>
        <w:top w:val="none" w:sz="0" w:space="0" w:color="auto"/>
        <w:left w:val="none" w:sz="0" w:space="0" w:color="auto"/>
        <w:bottom w:val="none" w:sz="0" w:space="0" w:color="auto"/>
        <w:right w:val="none" w:sz="0" w:space="0" w:color="auto"/>
      </w:divBdr>
    </w:div>
    <w:div w:id="2083137125">
      <w:bodyDiv w:val="1"/>
      <w:marLeft w:val="0"/>
      <w:marRight w:val="0"/>
      <w:marTop w:val="0"/>
      <w:marBottom w:val="0"/>
      <w:divBdr>
        <w:top w:val="none" w:sz="0" w:space="0" w:color="auto"/>
        <w:left w:val="none" w:sz="0" w:space="0" w:color="auto"/>
        <w:bottom w:val="none" w:sz="0" w:space="0" w:color="auto"/>
        <w:right w:val="none" w:sz="0" w:space="0" w:color="auto"/>
      </w:divBdr>
    </w:div>
    <w:div w:id="213602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ro/resources/digital-competenc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ropass.cedefop.europa.eu/ro/resources/european-language-levels-cefr"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2347</Words>
  <Characters>13379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Europass CV</vt:lpstr>
    </vt:vector>
  </TitlesOfParts>
  <Company>CEDEFOP</Company>
  <LinksUpToDate>false</LinksUpToDate>
  <CharactersWithSpaces>15695</CharactersWithSpaces>
  <SharedDoc>false</SharedDoc>
  <HLinks>
    <vt:vector size="12" baseType="variant">
      <vt:variant>
        <vt:i4>7274607</vt:i4>
      </vt:variant>
      <vt:variant>
        <vt:i4>3</vt:i4>
      </vt:variant>
      <vt:variant>
        <vt:i4>0</vt:i4>
      </vt:variant>
      <vt:variant>
        <vt:i4>5</vt:i4>
      </vt:variant>
      <vt:variant>
        <vt:lpwstr>http://europass.cedefop.europa.eu/ro/resources/digital-competences</vt:lpwstr>
      </vt:variant>
      <vt:variant>
        <vt:lpwstr/>
      </vt:variant>
      <vt:variant>
        <vt:i4>65558</vt:i4>
      </vt:variant>
      <vt:variant>
        <vt:i4>0</vt:i4>
      </vt:variant>
      <vt:variant>
        <vt:i4>0</vt:i4>
      </vt:variant>
      <vt:variant>
        <vt:i4>5</vt:i4>
      </vt:variant>
      <vt:variant>
        <vt:lpwstr>https://europass.cedefop.europa.eu/ro/resources/european-language-levels-cefr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User</dc:creator>
  <cp:keywords>Europass, CV, Cedefop</cp:keywords>
  <dc:description>Europass CV</dc:description>
  <cp:lastModifiedBy>DCC</cp:lastModifiedBy>
  <cp:revision>11</cp:revision>
  <cp:lastPrinted>1899-12-31T22:15:00Z</cp:lastPrinted>
  <dcterms:created xsi:type="dcterms:W3CDTF">2024-01-15T12:21:00Z</dcterms:created>
  <dcterms:modified xsi:type="dcterms:W3CDTF">2024-01-18T12:33:00Z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