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Cs w:val="18"/>
          <w:lang w:val="ro-RO"/>
        </w:rPr>
      </w:pPr>
      <w:r>
        <w:rPr>
          <w:b/>
          <w:szCs w:val="18"/>
          <w:lang w:val="ro-RO"/>
        </w:rPr>
        <w:t xml:space="preserve">Lista </w:t>
      </w:r>
      <w:r>
        <w:rPr>
          <w:rFonts w:hint="default"/>
          <w:b/>
          <w:szCs w:val="18"/>
          <w:lang w:val="en-US"/>
        </w:rPr>
        <w:t>publicatiilor</w:t>
      </w:r>
      <w:r>
        <w:rPr>
          <w:b/>
          <w:szCs w:val="18"/>
          <w:lang w:val="ro-RO"/>
        </w:rPr>
        <w:t xml:space="preserve"> Asist. Univ.</w:t>
      </w:r>
      <w:r>
        <w:rPr>
          <w:rFonts w:hint="default"/>
          <w:b/>
          <w:szCs w:val="18"/>
          <w:lang w:val="en-US"/>
        </w:rPr>
        <w:t xml:space="preserve"> Dr. </w:t>
      </w:r>
      <w:r>
        <w:rPr>
          <w:b/>
          <w:szCs w:val="18"/>
          <w:lang w:val="ro-RO"/>
        </w:rPr>
        <w:t xml:space="preserve"> Brebu Dan</w:t>
      </w:r>
    </w:p>
    <w:p>
      <w:pPr>
        <w:pStyle w:val="5"/>
        <w:ind w:left="113"/>
        <w:rPr>
          <w:color w:val="auto"/>
          <w:szCs w:val="18"/>
          <w:lang w:val="ro-RO"/>
        </w:rPr>
      </w:pPr>
    </w:p>
    <w:p>
      <w:pPr>
        <w:pStyle w:val="5"/>
        <w:numPr>
          <w:ilvl w:val="0"/>
          <w:numId w:val="1"/>
        </w:numPr>
        <w:ind w:left="425" w:leftChars="0" w:hanging="425" w:firstLineChars="0"/>
        <w:rPr>
          <w:b/>
          <w:color w:val="auto"/>
          <w:szCs w:val="18"/>
          <w:lang w:val="ro-RO"/>
        </w:rPr>
      </w:pPr>
      <w:r>
        <w:rPr>
          <w:color w:val="auto"/>
          <w:szCs w:val="18"/>
        </w:rPr>
        <w:t xml:space="preserve">The Correlation between Specific Biochemical Parameters, Radiological data and clinical sings for practicing laparoscopic cholecystectomy in the first 24 hours for acute cholecystitis. How safe it is? </w:t>
      </w:r>
      <w:r>
        <w:rPr>
          <w:b/>
          <w:color w:val="auto"/>
          <w:szCs w:val="18"/>
        </w:rPr>
        <w:t>DAN ALIN BREBU</w:t>
      </w:r>
      <w:r>
        <w:rPr>
          <w:color w:val="auto"/>
          <w:szCs w:val="18"/>
        </w:rPr>
        <w:t xml:space="preserve">, CRISTIAN VLAD, CRISTI TARTA , AMADEUS DOBRESCU , IULIANA MIHAIL , CRISTIAN NICA, LAZAR FULGER, CIPRIAN DUTA </w:t>
      </w:r>
      <w:r>
        <w:rPr>
          <w:rFonts w:hint="default"/>
          <w:color w:val="auto"/>
          <w:szCs w:val="18"/>
          <w:lang w:val="en-US"/>
        </w:rPr>
        <w:t xml:space="preserve"> </w:t>
      </w:r>
      <w:r>
        <w:rPr>
          <w:color w:val="auto"/>
          <w:szCs w:val="18"/>
        </w:rPr>
        <w:t xml:space="preserve">:REV.CHIM. (Bucharest)♦70♦ No.5♦2019 </w:t>
      </w:r>
      <w:r>
        <w:fldChar w:fldCharType="begin"/>
      </w:r>
      <w:r>
        <w:instrText xml:space="preserve"> HYPERLINK "http://www.revistadechimie.ro" </w:instrText>
      </w:r>
      <w:r>
        <w:fldChar w:fldCharType="separate"/>
      </w:r>
      <w:r>
        <w:rPr>
          <w:rStyle w:val="4"/>
          <w:szCs w:val="18"/>
        </w:rPr>
        <w:t>www.revista</w:t>
      </w:r>
      <w:r>
        <w:rPr>
          <w:rStyle w:val="4"/>
          <w:szCs w:val="18"/>
          <w:lang w:val="ro-RO"/>
        </w:rPr>
        <w:t>dechimie.ro</w:t>
      </w:r>
      <w:r>
        <w:rPr>
          <w:rStyle w:val="4"/>
          <w:szCs w:val="18"/>
          <w:lang w:val="ro-RO"/>
        </w:rPr>
        <w:fldChar w:fldCharType="end"/>
      </w:r>
      <w:r>
        <w:rPr>
          <w:color w:val="auto"/>
          <w:szCs w:val="18"/>
          <w:lang w:val="ro-RO"/>
        </w:rPr>
        <w:t xml:space="preserve">  </w:t>
      </w:r>
      <w:r>
        <w:rPr>
          <w:b/>
          <w:color w:val="auto"/>
          <w:szCs w:val="18"/>
          <w:lang w:val="ro-RO"/>
        </w:rPr>
        <w:t>ISI indexed  IF/2019 : 1.755</w:t>
      </w:r>
    </w:p>
    <w:p>
      <w:pPr>
        <w:pStyle w:val="5"/>
        <w:rPr>
          <w:b/>
          <w:color w:val="auto"/>
          <w:szCs w:val="18"/>
          <w:lang w:val="ro-RO"/>
        </w:rPr>
      </w:pPr>
    </w:p>
    <w:p>
      <w:pPr>
        <w:pStyle w:val="5"/>
        <w:rPr>
          <w:b/>
          <w:color w:val="auto"/>
          <w:szCs w:val="18"/>
          <w:lang w:val="ro-RO"/>
        </w:rPr>
      </w:pPr>
    </w:p>
    <w:p>
      <w:pPr>
        <w:pStyle w:val="5"/>
        <w:numPr>
          <w:ilvl w:val="0"/>
          <w:numId w:val="1"/>
        </w:numPr>
        <w:ind w:left="425" w:leftChars="0" w:hanging="425" w:firstLineChars="0"/>
        <w:rPr>
          <w:color w:val="auto"/>
          <w:szCs w:val="18"/>
          <w:lang w:val="ro-RO"/>
        </w:rPr>
      </w:pPr>
      <w:r>
        <w:rPr>
          <w:color w:val="auto"/>
          <w:szCs w:val="18"/>
        </w:rPr>
        <w:t xml:space="preserve">SRED-ARCE Recommendations for Minimally Invasive Interventions During the COVID-19 Pandemic in Romania Adrian Sãftoiu1,2, Victor Tomulescu2 , Marcel Tanåãu3 , Cristian Gheorghe4 , Eugen Dumitru5 , Bogdan Mateescu6 , Lucian Negreanu7 , Mariana Jinga8 , Andrada Seicean3 , Mihai Ciocîrlan9 , Vasile Drug10, Mircea Mãnuc11, Rãzvan Popescu12 , Cãlin Tiu13, Vasile Binåinåan14, Valentin Calu15, Valeriu Æurlin16, Florin Turcu2 , Florin Zaharie17, Dan Ulmeanu18, </w:t>
      </w:r>
      <w:r>
        <w:rPr>
          <w:b/>
          <w:color w:val="auto"/>
          <w:szCs w:val="18"/>
        </w:rPr>
        <w:t>Dan Brebu19</w:t>
      </w:r>
      <w:r>
        <w:rPr>
          <w:color w:val="auto"/>
          <w:szCs w:val="18"/>
        </w:rPr>
        <w:t xml:space="preserve"> , Alexandru Nicolau20, Mircea Liåescu21, Bogdan Diaconescu20, Ciprian Dutã19, Cãtãlin Copãescu2* Chirurgia (2020) 115: 289-306 No. 3, May - June Copyright© Celsius </w:t>
      </w:r>
      <w:r>
        <w:fldChar w:fldCharType="begin"/>
      </w:r>
      <w:r>
        <w:instrText xml:space="preserve"> HYPERLINK "http://dx.doi.org/10.21614/chirurgia.115.3.289" </w:instrText>
      </w:r>
      <w:r>
        <w:fldChar w:fldCharType="separate"/>
      </w:r>
      <w:r>
        <w:rPr>
          <w:rStyle w:val="4"/>
          <w:szCs w:val="18"/>
        </w:rPr>
        <w:t>http://dx.doi.org/10.21614/chirurgia.115.3.289</w:t>
      </w:r>
      <w:r>
        <w:rPr>
          <w:rStyle w:val="4"/>
          <w:szCs w:val="18"/>
        </w:rPr>
        <w:fldChar w:fldCharType="end"/>
      </w:r>
    </w:p>
    <w:p>
      <w:pPr>
        <w:pStyle w:val="5"/>
        <w:rPr>
          <w:b/>
          <w:color w:val="auto"/>
          <w:szCs w:val="18"/>
        </w:rPr>
      </w:pPr>
    </w:p>
    <w:p>
      <w:pPr>
        <w:pStyle w:val="5"/>
      </w:pPr>
    </w:p>
    <w:p>
      <w:pPr>
        <w:pStyle w:val="5"/>
        <w:numPr>
          <w:ilvl w:val="0"/>
          <w:numId w:val="1"/>
        </w:numPr>
        <w:ind w:left="425" w:leftChars="0" w:hanging="425" w:firstLineChars="0"/>
      </w:pPr>
      <w:r>
        <w:t xml:space="preserve">Thyroid Transcription Factor – 1 (TTF-1) Immunoexpression in Thyroid Carcinoma with Follicular Origin AMADEUS DOBRESCU, CRISTI TARTA, MARIOARA CORNIANU , CODRUTA LAZUREANU , IOANA GOLU , SONIA TANASESCU , MIHAELA  IACOB , </w:t>
      </w:r>
      <w:r>
        <w:rPr>
          <w:b/>
        </w:rPr>
        <w:t>DAN BREBU</w:t>
      </w:r>
      <w:r>
        <w:t xml:space="preserve"> , ALEXANDRU ISAIC , ROBERT BARNA , FULGER LAZAR Revista de Chimie https://revistadechimie.ro </w:t>
      </w:r>
      <w:r>
        <w:fldChar w:fldCharType="begin"/>
      </w:r>
      <w:r>
        <w:instrText xml:space="preserve"> HYPERLINK "https://doi.org/10.37358/Rev.%20Chim.1949" </w:instrText>
      </w:r>
      <w:r>
        <w:fldChar w:fldCharType="separate"/>
      </w:r>
      <w:r>
        <w:rPr>
          <w:rStyle w:val="4"/>
        </w:rPr>
        <w:t>https://doi.org/10.37358/Rev. Chim.1949</w:t>
      </w:r>
      <w:r>
        <w:rPr>
          <w:rStyle w:val="4"/>
        </w:rPr>
        <w:fldChar w:fldCharType="end"/>
      </w:r>
      <w:r>
        <w:t xml:space="preserve"> </w:t>
      </w:r>
    </w:p>
    <w:p>
      <w:pPr>
        <w:pStyle w:val="5"/>
      </w:pPr>
    </w:p>
    <w:p>
      <w:pPr>
        <w:pStyle w:val="5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5" w:leftChars="0" w:hanging="425" w:firstLineChars="0"/>
        <w:rPr>
          <w:rFonts w:hint="default"/>
          <w:b w:val="0"/>
          <w:bCs w:val="0"/>
          <w:color w:val="auto"/>
          <w:szCs w:val="18"/>
          <w:lang w:val="ro-RO"/>
        </w:rPr>
      </w:pPr>
      <w:r>
        <w:rPr>
          <w:rFonts w:hint="default"/>
          <w:color w:val="auto"/>
          <w:szCs w:val="18"/>
          <w:lang w:val="ro-RO"/>
        </w:rPr>
        <w:t xml:space="preserve">Presurgical Stratification of Thyroid Nodules - Is it really Needed? Current Guidelines versus Real Life.  Andreea Borlea1, Amadeus Dobrescu2*, Alis Dema3, Mãrioara Cornianu3, Fulger Octavian Lazãr2, </w:t>
      </w:r>
      <w:r>
        <w:rPr>
          <w:rFonts w:hint="default"/>
          <w:b/>
          <w:bCs/>
          <w:color w:val="auto"/>
          <w:szCs w:val="18"/>
          <w:lang w:val="ro-RO"/>
        </w:rPr>
        <w:t xml:space="preserve">Dan Brebu2. </w:t>
      </w:r>
      <w:r>
        <w:rPr>
          <w:rFonts w:hint="default"/>
          <w:b w:val="0"/>
          <w:bCs w:val="0"/>
          <w:color w:val="auto"/>
          <w:szCs w:val="18"/>
          <w:lang w:val="ro-RO"/>
        </w:rPr>
        <w:t xml:space="preserve">Chirurgia (2021)   116: 66-74 No. 1,      January - February Copyright© Celsius.  </w:t>
      </w:r>
      <w:r>
        <w:rPr>
          <w:rFonts w:hint="default"/>
          <w:b w:val="0"/>
          <w:bCs w:val="0"/>
          <w:color w:val="auto"/>
          <w:szCs w:val="18"/>
          <w:lang w:val="ro-RO"/>
        </w:rPr>
        <w:fldChar w:fldCharType="begin"/>
      </w:r>
      <w:r>
        <w:rPr>
          <w:rFonts w:hint="default"/>
          <w:b w:val="0"/>
          <w:bCs w:val="0"/>
          <w:color w:val="auto"/>
          <w:szCs w:val="18"/>
          <w:lang w:val="ro-RO"/>
        </w:rPr>
        <w:instrText xml:space="preserve"> HYPERLINK "http://dx.doi.org/10.21614/chirurgia.116.1.66" </w:instrText>
      </w:r>
      <w:r>
        <w:rPr>
          <w:rFonts w:hint="default"/>
          <w:b w:val="0"/>
          <w:bCs w:val="0"/>
          <w:color w:val="auto"/>
          <w:szCs w:val="18"/>
          <w:lang w:val="ro-RO"/>
        </w:rPr>
        <w:fldChar w:fldCharType="separate"/>
      </w:r>
      <w:r>
        <w:rPr>
          <w:rStyle w:val="4"/>
          <w:rFonts w:hint="default"/>
          <w:b w:val="0"/>
          <w:bCs w:val="0"/>
          <w:szCs w:val="18"/>
          <w:lang w:val="ro-RO"/>
        </w:rPr>
        <w:t>http://dx.doi.org/10.21614/chirurgia.116.1.66</w:t>
      </w:r>
      <w:r>
        <w:rPr>
          <w:rFonts w:hint="default"/>
          <w:b w:val="0"/>
          <w:bCs w:val="0"/>
          <w:color w:val="auto"/>
          <w:szCs w:val="18"/>
          <w:lang w:val="ro-RO"/>
        </w:rPr>
        <w:fldChar w:fldCharType="end"/>
      </w:r>
      <w:r>
        <w:rPr>
          <w:rFonts w:hint="default"/>
          <w:b w:val="0"/>
          <w:bCs w:val="0"/>
          <w:color w:val="auto"/>
          <w:szCs w:val="18"/>
          <w:lang w:val="ro-RO"/>
        </w:rPr>
        <w:t xml:space="preserve"> </w:t>
      </w:r>
    </w:p>
    <w:p>
      <w:pPr>
        <w:pStyle w:val="5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Chars="0"/>
        <w:rPr>
          <w:rFonts w:hint="default"/>
          <w:b w:val="0"/>
          <w:bCs w:val="0"/>
          <w:color w:val="auto"/>
          <w:szCs w:val="18"/>
          <w:lang w:val="ro-RO"/>
        </w:rPr>
      </w:pPr>
    </w:p>
    <w:p>
      <w:pPr>
        <w:pStyle w:val="5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5" w:leftChars="0" w:hanging="425" w:firstLineChars="0"/>
        <w:rPr>
          <w:b w:val="0"/>
          <w:bCs w:val="0"/>
          <w:color w:val="auto"/>
          <w:szCs w:val="18"/>
          <w:lang w:val="ro-RO"/>
        </w:rPr>
      </w:pPr>
      <w:r>
        <w:rPr>
          <w:rFonts w:hint="default"/>
          <w:b w:val="0"/>
          <w:bCs w:val="0"/>
          <w:color w:val="auto"/>
          <w:szCs w:val="18"/>
          <w:lang w:val="ro-RO"/>
        </w:rPr>
        <w:t xml:space="preserve">The Robotic Approach in Rectal Cancer WRITTEN BY Ciprian Duta, Stelu Pantea, </w:t>
      </w:r>
      <w:r>
        <w:rPr>
          <w:rFonts w:hint="default"/>
          <w:b/>
          <w:bCs/>
          <w:color w:val="auto"/>
          <w:szCs w:val="18"/>
          <w:lang w:val="ro-RO"/>
        </w:rPr>
        <w:t>Dan Brebu</w:t>
      </w:r>
      <w:r>
        <w:rPr>
          <w:rFonts w:hint="default"/>
          <w:b w:val="0"/>
          <w:bCs w:val="0"/>
          <w:color w:val="auto"/>
          <w:szCs w:val="18"/>
          <w:lang w:val="ro-RO"/>
        </w:rPr>
        <w:t xml:space="preserve">, Amadeus Dobrescu, Caius Lazar, Kitty Botoca, Cristi Tarta and Fulger Lazar Submitted: 10 May 2021 Reviewed: 20 August 2021 Published: 11 October 2021 DOI: 10.5772/intechopen.100026 </w:t>
      </w:r>
    </w:p>
    <w:p>
      <w:pPr>
        <w:pStyle w:val="5"/>
        <w:rPr>
          <w:color w:val="auto"/>
          <w:szCs w:val="18"/>
          <w:lang w:val="ro-RO"/>
        </w:rPr>
      </w:pPr>
    </w:p>
    <w:p>
      <w:pPr>
        <w:pStyle w:val="5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5" w:leftChars="0" w:hanging="425" w:firstLineChars="0"/>
        <w:rPr>
          <w:color w:val="auto"/>
          <w:szCs w:val="18"/>
          <w:lang w:val="ro-RO"/>
        </w:rPr>
      </w:pPr>
      <w:r>
        <w:rPr>
          <w:rFonts w:hint="default"/>
          <w:color w:val="auto"/>
          <w:szCs w:val="18"/>
          <w:lang w:val="ro-RO"/>
        </w:rPr>
        <w:t>The value of tumor infiltrating lymphocytes (TIL) for prediction of response to neoadjuvant chemotherapy (NAC) in breast cancer according to the molecular subtype.</w:t>
      </w:r>
      <w:r>
        <w:rPr>
          <w:rFonts w:hint="default"/>
          <w:color w:val="auto"/>
          <w:szCs w:val="18"/>
          <w:lang w:val="en-US"/>
        </w:rPr>
        <w:t xml:space="preserve"> </w:t>
      </w:r>
      <w:r>
        <w:rPr>
          <w:rFonts w:hint="default"/>
          <w:color w:val="auto"/>
          <w:szCs w:val="18"/>
          <w:lang w:val="ro-RO"/>
        </w:rPr>
        <w:t xml:space="preserve">IONUT FLAVIU FAUR, AMADEUS DOBRESCU, ADELINA CLIM, PAUL PASCA, CATALIN PRODAN-BARBULESCU, BOGDAN DANIEL GHERLE, CRISTI TARTA, ALEXANDRU ISAIC, </w:t>
      </w:r>
      <w:r>
        <w:rPr>
          <w:rFonts w:hint="default"/>
          <w:b/>
          <w:bCs/>
          <w:color w:val="auto"/>
          <w:szCs w:val="18"/>
          <w:lang w:val="ro-RO"/>
        </w:rPr>
        <w:t>DAN BREBU</w:t>
      </w:r>
      <w:r>
        <w:rPr>
          <w:rFonts w:hint="default"/>
          <w:color w:val="auto"/>
          <w:szCs w:val="18"/>
          <w:lang w:val="ro-RO"/>
        </w:rPr>
        <w:t>, CIPRIAN DUTA, BOGDAN TOTOLICI, GABRIEL LAZAR</w:t>
      </w:r>
      <w:r>
        <w:rPr>
          <w:rFonts w:hint="default"/>
          <w:color w:val="auto"/>
          <w:szCs w:val="18"/>
          <w:lang w:val="ro-RO"/>
        </w:rPr>
        <w:tab/>
      </w:r>
      <w:r>
        <w:rPr>
          <w:rFonts w:hint="default"/>
          <w:color w:val="auto"/>
          <w:szCs w:val="18"/>
          <w:lang w:val="ro-RO"/>
        </w:rPr>
        <w:t xml:space="preserve">Biomedicines, 2023, 11, 3037. </w:t>
      </w:r>
      <w:r>
        <w:rPr>
          <w:rFonts w:hint="default"/>
          <w:color w:val="auto"/>
          <w:szCs w:val="18"/>
          <w:lang w:val="ro-RO"/>
        </w:rPr>
        <w:fldChar w:fldCharType="begin"/>
      </w:r>
      <w:r>
        <w:rPr>
          <w:rFonts w:hint="default"/>
          <w:color w:val="auto"/>
          <w:szCs w:val="18"/>
          <w:lang w:val="ro-RO"/>
        </w:rPr>
        <w:instrText xml:space="preserve"> HYPERLINK "https://doi.org/10.3390/biomedicines11113037" </w:instrText>
      </w:r>
      <w:r>
        <w:rPr>
          <w:rFonts w:hint="default"/>
          <w:color w:val="auto"/>
          <w:szCs w:val="18"/>
          <w:lang w:val="ro-RO"/>
        </w:rPr>
        <w:fldChar w:fldCharType="separate"/>
      </w:r>
      <w:r>
        <w:rPr>
          <w:rStyle w:val="4"/>
          <w:rFonts w:hint="default"/>
          <w:szCs w:val="18"/>
          <w:lang w:val="ro-RO"/>
        </w:rPr>
        <w:t>https://doi.org/10.3390/biomedicines11113037</w:t>
      </w:r>
      <w:r>
        <w:rPr>
          <w:rFonts w:hint="default"/>
          <w:color w:val="auto"/>
          <w:szCs w:val="18"/>
          <w:lang w:val="ro-RO"/>
        </w:rPr>
        <w:fldChar w:fldCharType="end"/>
      </w:r>
      <w:r>
        <w:rPr>
          <w:rFonts w:hint="default"/>
          <w:color w:val="auto"/>
          <w:szCs w:val="18"/>
          <w:lang w:val="ro-RO"/>
        </w:rPr>
        <w:t xml:space="preserve"> . X Department of General Surgery, Victor Babes University of Medicine and Pharmacy Timisoara, Romania. </w:t>
      </w:r>
      <w:r>
        <w:rPr>
          <w:color w:val="auto"/>
          <w:szCs w:val="18"/>
          <w:lang w:val="ro-RO"/>
        </w:rPr>
        <w:t xml:space="preserve"> </w:t>
      </w:r>
      <w:r>
        <w:rPr>
          <w:b/>
          <w:color w:val="auto"/>
          <w:szCs w:val="18"/>
          <w:lang w:val="ro-RO"/>
        </w:rPr>
        <w:t>ISI indexed  IF/20</w:t>
      </w:r>
      <w:r>
        <w:rPr>
          <w:rFonts w:hint="default"/>
          <w:b/>
          <w:color w:val="auto"/>
          <w:szCs w:val="18"/>
          <w:lang w:val="ro-RO"/>
        </w:rPr>
        <w:t>23</w:t>
      </w:r>
      <w:r>
        <w:rPr>
          <w:b/>
          <w:color w:val="auto"/>
          <w:szCs w:val="18"/>
          <w:lang w:val="ro-RO"/>
        </w:rPr>
        <w:t xml:space="preserve"> : </w:t>
      </w:r>
      <w:r>
        <w:rPr>
          <w:rFonts w:hint="default"/>
          <w:b/>
          <w:color w:val="auto"/>
          <w:szCs w:val="18"/>
          <w:lang w:val="ro-RO"/>
        </w:rPr>
        <w:t>4</w:t>
      </w:r>
      <w:r>
        <w:rPr>
          <w:b/>
          <w:color w:val="auto"/>
          <w:szCs w:val="18"/>
          <w:lang w:val="ro-RO"/>
        </w:rPr>
        <w:t>.7</w:t>
      </w:r>
    </w:p>
    <w:p>
      <w:pPr>
        <w:pStyle w:val="5"/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Chars="0"/>
        <w:rPr>
          <w:color w:val="auto"/>
          <w:szCs w:val="18"/>
          <w:lang w:val="ro-RO"/>
        </w:rPr>
      </w:pPr>
    </w:p>
    <w:p>
      <w:pPr>
        <w:pStyle w:val="5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5" w:leftChars="0" w:hanging="425" w:firstLineChars="0"/>
        <w:rPr>
          <w:color w:val="auto"/>
          <w:szCs w:val="18"/>
          <w:lang w:val="ro-RO"/>
        </w:rPr>
      </w:pPr>
      <w:r>
        <w:rPr>
          <w:rFonts w:hint="default"/>
          <w:color w:val="auto"/>
          <w:szCs w:val="18"/>
          <w:lang w:val="ro-RO"/>
        </w:rPr>
        <w:t>Three-Year Analysis of Rectal Cancer Trajectory after the COVID-19 Pandemic</w:t>
      </w:r>
      <w:r>
        <w:rPr>
          <w:rFonts w:hint="default"/>
          <w:color w:val="auto"/>
          <w:szCs w:val="18"/>
          <w:lang w:val="en-US"/>
        </w:rPr>
        <w:t xml:space="preserve"> </w:t>
      </w:r>
      <w:r>
        <w:rPr>
          <w:rFonts w:hint="default"/>
          <w:color w:val="auto"/>
          <w:szCs w:val="18"/>
          <w:lang w:val="ro-RO"/>
        </w:rPr>
        <w:t xml:space="preserve">VLAD BRAICU, LAZAR FULGER, ADITYA NELLURI, RAM KIRAN MAGANTI, UDAY SHREE AKKALA SHETTY, GABRIEL VERDES, </w:t>
      </w:r>
      <w:r>
        <w:rPr>
          <w:rFonts w:hint="default"/>
          <w:b/>
          <w:bCs/>
          <w:color w:val="auto"/>
          <w:szCs w:val="18"/>
          <w:lang w:val="ro-RO"/>
        </w:rPr>
        <w:t>DAN BREBU</w:t>
      </w:r>
      <w:r>
        <w:rPr>
          <w:rFonts w:hint="default"/>
          <w:color w:val="auto"/>
          <w:szCs w:val="18"/>
          <w:lang w:val="ro-RO"/>
        </w:rPr>
        <w:t>, CATALIN DUMITRU, ANA OLIVIA TOMA, OVIDIU ROSCA, CIPRIAN DUTA</w:t>
      </w:r>
      <w:r>
        <w:rPr>
          <w:rFonts w:hint="default"/>
          <w:color w:val="auto"/>
          <w:szCs w:val="18"/>
          <w:lang w:val="en-US"/>
        </w:rPr>
        <w:t xml:space="preserve">.  </w:t>
      </w:r>
      <w:r>
        <w:rPr>
          <w:rFonts w:hint="default"/>
          <w:color w:val="auto"/>
          <w:szCs w:val="18"/>
          <w:lang w:val="ro-RO"/>
        </w:rPr>
        <w:t xml:space="preserve">Diseases, 2023, 11, 181. </w:t>
      </w:r>
      <w:r>
        <w:rPr>
          <w:rFonts w:hint="default"/>
          <w:color w:val="auto"/>
          <w:szCs w:val="18"/>
          <w:lang w:val="ro-RO"/>
        </w:rPr>
        <w:fldChar w:fldCharType="begin"/>
      </w:r>
      <w:r>
        <w:rPr>
          <w:rFonts w:hint="default"/>
          <w:color w:val="auto"/>
          <w:szCs w:val="18"/>
          <w:lang w:val="ro-RO"/>
        </w:rPr>
        <w:instrText xml:space="preserve"> HYPERLINK "https://doi.org/10.3390/diseases11040181" </w:instrText>
      </w:r>
      <w:r>
        <w:rPr>
          <w:rFonts w:hint="default"/>
          <w:color w:val="auto"/>
          <w:szCs w:val="18"/>
          <w:lang w:val="ro-RO"/>
        </w:rPr>
        <w:fldChar w:fldCharType="separate"/>
      </w:r>
      <w:r>
        <w:rPr>
          <w:rStyle w:val="4"/>
          <w:rFonts w:hint="default"/>
          <w:szCs w:val="18"/>
          <w:lang w:val="ro-RO"/>
        </w:rPr>
        <w:t>https://doi.org/10.3390/diseases11040181</w:t>
      </w:r>
      <w:r>
        <w:rPr>
          <w:rFonts w:hint="default"/>
          <w:color w:val="auto"/>
          <w:szCs w:val="18"/>
          <w:lang w:val="ro-RO"/>
        </w:rPr>
        <w:fldChar w:fldCharType="end"/>
      </w:r>
      <w:r>
        <w:rPr>
          <w:rFonts w:hint="default"/>
          <w:color w:val="auto"/>
          <w:szCs w:val="18"/>
          <w:lang w:val="ro-RO"/>
        </w:rPr>
        <w:t xml:space="preserve">  Department of general Surgery, ‘’Victor Babes” University of Medicine and Pharmacy Timisoara, Romamia. </w:t>
      </w:r>
      <w:r>
        <w:rPr>
          <w:b/>
          <w:color w:val="auto"/>
          <w:szCs w:val="18"/>
          <w:lang w:val="ro-RO"/>
        </w:rPr>
        <w:t>ISI indexed  IF/20</w:t>
      </w:r>
      <w:r>
        <w:rPr>
          <w:rFonts w:hint="default"/>
          <w:b/>
          <w:color w:val="auto"/>
          <w:szCs w:val="18"/>
          <w:lang w:val="ro-RO"/>
        </w:rPr>
        <w:t>23</w:t>
      </w:r>
      <w:r>
        <w:rPr>
          <w:b/>
          <w:color w:val="auto"/>
          <w:szCs w:val="18"/>
          <w:lang w:val="ro-RO"/>
        </w:rPr>
        <w:t xml:space="preserve"> : </w:t>
      </w:r>
      <w:r>
        <w:rPr>
          <w:rFonts w:hint="default"/>
          <w:b/>
          <w:color w:val="auto"/>
          <w:szCs w:val="18"/>
          <w:lang w:val="ro-RO"/>
        </w:rPr>
        <w:t>3</w:t>
      </w:r>
      <w:r>
        <w:rPr>
          <w:b/>
          <w:color w:val="auto"/>
          <w:szCs w:val="18"/>
          <w:lang w:val="ro-RO"/>
        </w:rPr>
        <w:t>.7</w:t>
      </w:r>
    </w:p>
    <w:p>
      <w:pPr>
        <w:pStyle w:val="5"/>
        <w:numPr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Chars="0"/>
        <w:rPr>
          <w:color w:val="auto"/>
          <w:szCs w:val="18"/>
          <w:lang w:val="ro-RO"/>
        </w:rPr>
      </w:pPr>
    </w:p>
    <w:p>
      <w:pPr>
        <w:pStyle w:val="5"/>
        <w:numPr>
          <w:ilvl w:val="0"/>
          <w:numId w:val="1"/>
        </w:numPr>
        <w:ind w:left="425" w:leftChars="0" w:hanging="425" w:firstLineChars="0"/>
        <w:rPr>
          <w:rFonts w:hint="default"/>
          <w:color w:val="auto"/>
          <w:szCs w:val="18"/>
          <w:lang w:val="ro-RO"/>
        </w:rPr>
      </w:pPr>
      <w:r>
        <w:rPr>
          <w:rFonts w:hint="default"/>
          <w:color w:val="auto"/>
          <w:szCs w:val="18"/>
          <w:lang w:val="ro-RO"/>
        </w:rPr>
        <w:t>The role of laparoscopy in the diagnosis of possible secondary liver lesions in the absence of a primary tumor;</w:t>
      </w:r>
      <w:r>
        <w:rPr>
          <w:rFonts w:hint="default"/>
          <w:color w:val="auto"/>
          <w:szCs w:val="18"/>
          <w:lang w:val="en-US"/>
        </w:rPr>
        <w:t xml:space="preserve"> </w:t>
      </w:r>
      <w:r>
        <w:rPr>
          <w:rFonts w:hint="default"/>
          <w:b/>
          <w:bCs/>
          <w:color w:val="auto"/>
          <w:szCs w:val="18"/>
          <w:lang w:val="ro-RO"/>
        </w:rPr>
        <w:t>Brebu Dan</w:t>
      </w:r>
      <w:r>
        <w:rPr>
          <w:rFonts w:hint="default"/>
          <w:color w:val="auto"/>
          <w:szCs w:val="18"/>
          <w:lang w:val="ro-RO"/>
        </w:rPr>
        <w:t xml:space="preserve">, Tarța Cristi, Dobrescu Amadeus, Lazăr Fulger;  Medicine in evolution, 2014, Volume XX. nr. 3, pag. 354-357, ISSN 2065-376X (BDI indexed in index copernicus) </w:t>
      </w:r>
    </w:p>
    <w:p>
      <w:pPr>
        <w:pStyle w:val="5"/>
        <w:rPr>
          <w:rFonts w:hint="default"/>
          <w:color w:val="auto"/>
          <w:szCs w:val="18"/>
          <w:lang w:val="ro-RO"/>
        </w:rPr>
      </w:pPr>
    </w:p>
    <w:p>
      <w:pPr>
        <w:pStyle w:val="5"/>
        <w:numPr>
          <w:ilvl w:val="0"/>
          <w:numId w:val="1"/>
        </w:numPr>
        <w:ind w:left="425" w:leftChars="0" w:hanging="425" w:firstLineChars="0"/>
        <w:rPr>
          <w:color w:val="auto"/>
          <w:szCs w:val="18"/>
          <w:lang w:val="ro-RO"/>
        </w:rPr>
      </w:pPr>
      <w:r>
        <w:rPr>
          <w:rFonts w:hint="default"/>
          <w:color w:val="auto"/>
          <w:szCs w:val="18"/>
          <w:lang w:val="ro-RO"/>
        </w:rPr>
        <w:t>Simultaneous laparoscopic approach of colorectal cancer and synchronous liver metestases – initial experience</w:t>
      </w:r>
      <w:r>
        <w:rPr>
          <w:rFonts w:hint="default"/>
          <w:color w:val="auto"/>
          <w:szCs w:val="18"/>
          <w:lang w:val="en-US"/>
        </w:rPr>
        <w:t xml:space="preserve"> </w:t>
      </w:r>
      <w:r>
        <w:rPr>
          <w:rFonts w:hint="default"/>
          <w:b/>
          <w:bCs/>
          <w:color w:val="auto"/>
          <w:szCs w:val="18"/>
          <w:lang w:val="ro-RO"/>
        </w:rPr>
        <w:t>Brebu Dan</w:t>
      </w:r>
      <w:r>
        <w:rPr>
          <w:rFonts w:hint="default"/>
          <w:color w:val="auto"/>
          <w:szCs w:val="18"/>
          <w:lang w:val="ro-RO"/>
        </w:rPr>
        <w:t xml:space="preserve">, Pantea Stelian, Lazăr Caius, Tarța Cristi, Duță Ciprian, Lazăr Fulger; ; Fiziologia, 2014, Vol.24, no.2 (82), </w:t>
      </w:r>
      <w:r>
        <w:rPr>
          <w:rFonts w:hint="default"/>
          <w:color w:val="auto"/>
          <w:szCs w:val="18"/>
          <w:lang w:val="ro-RO"/>
        </w:rPr>
        <w:tab/>
      </w:r>
      <w:r>
        <w:rPr>
          <w:rFonts w:hint="default"/>
          <w:color w:val="auto"/>
          <w:szCs w:val="18"/>
          <w:lang w:val="ro-RO"/>
        </w:rPr>
        <w:t xml:space="preserve">pag.10-13, ISSN 1223-2076 (BDI indexed in index copernicus) </w:t>
      </w:r>
    </w:p>
    <w:p>
      <w:pPr>
        <w:pStyle w:val="5"/>
        <w:numPr>
          <w:numId w:val="0"/>
        </w:numPr>
        <w:ind w:leftChars="0"/>
        <w:rPr>
          <w:color w:val="auto"/>
          <w:szCs w:val="18"/>
          <w:lang w:val="ro-RO"/>
        </w:rPr>
      </w:pPr>
    </w:p>
    <w:p>
      <w:pPr>
        <w:pStyle w:val="5"/>
        <w:numPr>
          <w:ilvl w:val="0"/>
          <w:numId w:val="1"/>
        </w:numPr>
        <w:ind w:left="425" w:leftChars="0" w:hanging="425" w:firstLineChars="0"/>
        <w:rPr>
          <w:color w:val="auto"/>
          <w:szCs w:val="18"/>
          <w:lang w:val="ro-RO"/>
        </w:rPr>
      </w:pPr>
      <w:r>
        <w:rPr>
          <w:rFonts w:hint="default"/>
          <w:color w:val="auto"/>
          <w:szCs w:val="18"/>
          <w:lang w:val="ro-RO"/>
        </w:rPr>
        <w:t xml:space="preserve"> Laparoscopic combined colorectal and liver resection for primary colorectal cancer with synchronous liver metastases Ciprian Duta, </w:t>
      </w:r>
      <w:r>
        <w:rPr>
          <w:rFonts w:hint="default"/>
          <w:b/>
          <w:bCs/>
          <w:color w:val="auto"/>
          <w:szCs w:val="18"/>
          <w:lang w:val="ro-RO"/>
        </w:rPr>
        <w:t>Dan Brebu</w:t>
      </w:r>
      <w:r>
        <w:rPr>
          <w:rFonts w:hint="default"/>
          <w:color w:val="auto"/>
          <w:szCs w:val="18"/>
          <w:lang w:val="ro-RO"/>
        </w:rPr>
        <w:t>, Cristi Tarta, Amadeus Dobrescu Surgical Clinic 2, University of Medicine and Pharmacy, “V.Babes”, Timisoara, Romania ISSN: 2277-3754   ISO 9001:2008 Certified International Journal of Engineering and Innovative Technology (IJEIT) Volume 5, Issue 6, December 2015</w:t>
      </w:r>
      <w:r>
        <w:rPr>
          <w:rFonts w:hint="default"/>
          <w:color w:val="auto"/>
          <w:szCs w:val="18"/>
          <w:lang w:val="en-US"/>
        </w:rPr>
        <w:t xml:space="preserve">. DOI:10.17605/OSF.IO/WJNBR </w:t>
      </w:r>
      <w:r>
        <w:rPr>
          <w:rFonts w:hint="default"/>
          <w:color w:val="auto"/>
          <w:szCs w:val="18"/>
          <w:lang w:val="ro-RO"/>
        </w:rPr>
        <w:t xml:space="preserve"> </w:t>
      </w:r>
    </w:p>
    <w:p>
      <w:pPr>
        <w:pStyle w:val="5"/>
        <w:widowControl w:val="0"/>
        <w:numPr>
          <w:numId w:val="0"/>
        </w:numPr>
        <w:suppressLineNumbers/>
        <w:suppressAutoHyphens/>
        <w:autoSpaceDE w:val="0"/>
        <w:spacing w:before="28" w:after="0" w:line="100" w:lineRule="atLeast"/>
        <w:rPr>
          <w:rFonts w:hint="default"/>
          <w:color w:val="auto"/>
          <w:szCs w:val="18"/>
          <w:lang w:val="ro-RO"/>
        </w:rPr>
      </w:pPr>
    </w:p>
    <w:p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OpenSymbo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7381E3"/>
    <w:multiLevelType w:val="singleLevel"/>
    <w:tmpl w:val="EF7381E3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7D"/>
    <w:rsid w:val="00113404"/>
    <w:rsid w:val="00410F7D"/>
    <w:rsid w:val="460B5987"/>
    <w:rsid w:val="53500B9F"/>
    <w:rsid w:val="6C36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80"/>
      <w:u w:val="single"/>
    </w:rPr>
  </w:style>
  <w:style w:type="paragraph" w:customStyle="1" w:styleId="5">
    <w:name w:val="_ECV_SectionDetails"/>
    <w:basedOn w:val="1"/>
    <w:uiPriority w:val="0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hAnsi="Arial" w:eastAsia="SimSun" w:cs="Mangal"/>
      <w:color w:val="3F3A38"/>
      <w:spacing w:val="-6"/>
      <w:kern w:val="1"/>
      <w:sz w:val="18"/>
      <w:szCs w:val="24"/>
      <w:lang w:val="en-GB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253</Words>
  <Characters>1447</Characters>
  <Lines>12</Lines>
  <Paragraphs>3</Paragraphs>
  <TotalTime>6</TotalTime>
  <ScaleCrop>false</ScaleCrop>
  <LinksUpToDate>false</LinksUpToDate>
  <CharactersWithSpaces>1697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2020-09-14T17:56:00Z</dcterms:created>
  <dc:creator>Dan</dc:creator>
  <cp:lastModifiedBy>Dan</cp:lastModifiedBy>
  <cp:lastPrinted>2024-01-08T21:16:30Z</cp:lastPrinted>
  <dcterms:modified xsi:type="dcterms:W3CDTF">2024-01-08T21:17:33Z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F5758C0543AC4FDA8149CA852F112BF0_13</vt:lpwstr>
  </property>
</Properties>
</file>