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w:t>LISTĂ</w:t>
      </w:r>
      <w:r>
        <w:rPr>
          <w:spacing w:val="1"/>
        </w:rPr>
        <w:t> </w:t>
      </w:r>
      <w:r>
        <w:rPr/>
        <w:t>CU</w:t>
      </w:r>
      <w:r>
        <w:rPr>
          <w:spacing w:val="2"/>
        </w:rPr>
        <w:t> </w:t>
      </w:r>
      <w:r>
        <w:rPr>
          <w:spacing w:val="-2"/>
        </w:rPr>
        <w:t>LUCRĂRI</w:t>
      </w:r>
    </w:p>
    <w:p>
      <w:pPr>
        <w:pStyle w:val="BodyText"/>
        <w:spacing w:before="408"/>
        <w:ind w:left="0" w:firstLine="0"/>
        <w:rPr>
          <w:rFonts w:ascii="Arial"/>
          <w:b/>
          <w:sz w:val="48"/>
        </w:rPr>
      </w:pPr>
    </w:p>
    <w:p>
      <w:pPr>
        <w:pStyle w:val="Heading1"/>
        <w:spacing w:line="242" w:lineRule="auto"/>
        <w:rPr>
          <w:rFonts w:ascii="Arial MT" w:hAnsi="Arial MT"/>
          <w:b w:val="0"/>
        </w:rPr>
      </w:pPr>
      <w:r>
        <w:rPr/>
        <w:t>Lucrări publicate in extenso ca și prim-autor în reviste ISI recunoscute la nivel </w:t>
      </w:r>
      <w:r>
        <w:rPr>
          <w:spacing w:val="-2"/>
        </w:rPr>
        <w:t>internațional</w:t>
      </w:r>
      <w:r>
        <w:rPr>
          <w:rFonts w:ascii="Arial MT" w:hAnsi="Arial MT"/>
          <w:b w:val="0"/>
          <w:spacing w:val="-2"/>
        </w:rPr>
        <w:t>:</w:t>
      </w:r>
    </w:p>
    <w:p>
      <w:pPr>
        <w:pStyle w:val="ListParagraph"/>
        <w:numPr>
          <w:ilvl w:val="0"/>
          <w:numId w:val="1"/>
        </w:numPr>
        <w:tabs>
          <w:tab w:pos="834" w:val="left" w:leader="none"/>
          <w:tab w:pos="836" w:val="left" w:leader="none"/>
        </w:tabs>
        <w:spacing w:line="259" w:lineRule="auto" w:before="270" w:after="0"/>
        <w:ind w:left="836" w:right="713" w:hanging="360"/>
        <w:jc w:val="left"/>
        <w:rPr>
          <w:b/>
          <w:sz w:val="22"/>
        </w:rPr>
      </w:pPr>
      <w:r>
        <w:rPr>
          <w:b/>
          <w:color w:val="202020"/>
          <w:sz w:val="22"/>
        </w:rPr>
        <w:t>Nitusca</w:t>
      </w:r>
      <w:r>
        <w:rPr>
          <w:b/>
          <w:color w:val="202020"/>
          <w:spacing w:val="-1"/>
          <w:sz w:val="22"/>
        </w:rPr>
        <w:t> </w:t>
      </w:r>
      <w:r>
        <w:rPr>
          <w:b/>
          <w:color w:val="202020"/>
          <w:sz w:val="22"/>
        </w:rPr>
        <w:t>D</w:t>
      </w:r>
      <w:r>
        <w:rPr>
          <w:color w:val="202020"/>
          <w:sz w:val="22"/>
        </w:rPr>
        <w:t>,</w:t>
      </w:r>
      <w:r>
        <w:rPr>
          <w:color w:val="202020"/>
          <w:spacing w:val="-1"/>
          <w:sz w:val="22"/>
        </w:rPr>
        <w:t> </w:t>
      </w:r>
      <w:r>
        <w:rPr>
          <w:color w:val="202020"/>
          <w:sz w:val="22"/>
        </w:rPr>
        <w:t>Socaciu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C,</w:t>
      </w:r>
      <w:r>
        <w:rPr>
          <w:color w:val="202020"/>
          <w:spacing w:val="-1"/>
          <w:sz w:val="22"/>
        </w:rPr>
        <w:t> </w:t>
      </w:r>
      <w:r>
        <w:rPr>
          <w:color w:val="202020"/>
          <w:sz w:val="22"/>
        </w:rPr>
        <w:t>Socaciu</w:t>
      </w:r>
      <w:r>
        <w:rPr>
          <w:color w:val="202020"/>
          <w:spacing w:val="-1"/>
          <w:sz w:val="22"/>
        </w:rPr>
        <w:t> </w:t>
      </w:r>
      <w:r>
        <w:rPr>
          <w:color w:val="202020"/>
          <w:sz w:val="22"/>
        </w:rPr>
        <w:t>AI,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Sirbu</w:t>
      </w:r>
      <w:r>
        <w:rPr>
          <w:color w:val="202020"/>
          <w:spacing w:val="-1"/>
          <w:sz w:val="22"/>
        </w:rPr>
        <w:t> </w:t>
      </w:r>
      <w:r>
        <w:rPr>
          <w:color w:val="202020"/>
          <w:sz w:val="22"/>
        </w:rPr>
        <w:t>IO,</w:t>
      </w:r>
      <w:r>
        <w:rPr>
          <w:color w:val="202020"/>
          <w:spacing w:val="-1"/>
          <w:sz w:val="22"/>
        </w:rPr>
        <w:t> </w:t>
      </w:r>
      <w:r>
        <w:rPr>
          <w:color w:val="202020"/>
          <w:sz w:val="22"/>
        </w:rPr>
        <w:t>Bardan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R,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Cumpanas</w:t>
      </w:r>
      <w:r>
        <w:rPr>
          <w:color w:val="202020"/>
          <w:spacing w:val="-4"/>
          <w:sz w:val="22"/>
        </w:rPr>
        <w:t> </w:t>
      </w:r>
      <w:r>
        <w:rPr>
          <w:color w:val="202020"/>
          <w:sz w:val="22"/>
        </w:rPr>
        <w:t>AA,</w:t>
      </w:r>
      <w:r>
        <w:rPr>
          <w:color w:val="202020"/>
          <w:spacing w:val="-1"/>
          <w:sz w:val="22"/>
        </w:rPr>
        <w:t> </w:t>
      </w:r>
      <w:r>
        <w:rPr>
          <w:color w:val="202020"/>
          <w:sz w:val="22"/>
        </w:rPr>
        <w:t>Seclaman</w:t>
      </w:r>
      <w:r>
        <w:rPr>
          <w:color w:val="202020"/>
          <w:spacing w:val="-1"/>
          <w:sz w:val="22"/>
        </w:rPr>
        <w:t> </w:t>
      </w:r>
      <w:r>
        <w:rPr>
          <w:color w:val="202020"/>
          <w:sz w:val="22"/>
        </w:rPr>
        <w:t>E, Marian C. Potential Diagnostic Biomarker Detection for Prostate Cancer Using Untargeted and Targeted Metabolomic Profiling. Curr Issues Mol Biol. 2023 Jun 8;45(6):5036-5051. doi: 10.3390/cimb45060320. PMID: 37367069; PMCID: PMC10296965. </w:t>
      </w:r>
      <w:r>
        <w:rPr>
          <w:b/>
          <w:color w:val="202020"/>
          <w:sz w:val="22"/>
        </w:rPr>
        <w:t>IF = 3.1</w:t>
      </w:r>
    </w:p>
    <w:p>
      <w:pPr>
        <w:pStyle w:val="ListParagraph"/>
        <w:numPr>
          <w:ilvl w:val="0"/>
          <w:numId w:val="1"/>
        </w:numPr>
        <w:tabs>
          <w:tab w:pos="834" w:val="left" w:leader="none"/>
          <w:tab w:pos="836" w:val="left" w:leader="none"/>
        </w:tabs>
        <w:spacing w:line="259" w:lineRule="auto" w:before="0" w:after="0"/>
        <w:ind w:left="836" w:right="321" w:hanging="360"/>
        <w:jc w:val="left"/>
        <w:rPr>
          <w:b/>
          <w:sz w:val="22"/>
        </w:rPr>
      </w:pPr>
      <w:r>
        <w:rPr>
          <w:color w:val="202020"/>
          <w:sz w:val="22"/>
        </w:rPr>
        <w:t>Ilia I, </w:t>
      </w:r>
      <w:r>
        <w:rPr>
          <w:b/>
          <w:color w:val="202020"/>
          <w:sz w:val="22"/>
        </w:rPr>
        <w:t>Nitusca D*</w:t>
      </w:r>
      <w:r>
        <w:rPr>
          <w:color w:val="202020"/>
          <w:sz w:val="22"/>
        </w:rPr>
        <w:t>, Marian C. Adiponectin in Osteoarthritis: Pathophysiology, Relationship with Obesity and Presumptive Diagnostic Biomarker Potential. Diagnostics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(Basel).</w:t>
      </w:r>
      <w:r>
        <w:rPr>
          <w:color w:val="202020"/>
          <w:spacing w:val="-8"/>
          <w:sz w:val="22"/>
        </w:rPr>
        <w:t> </w:t>
      </w:r>
      <w:r>
        <w:rPr>
          <w:color w:val="202020"/>
          <w:sz w:val="22"/>
        </w:rPr>
        <w:t>2022</w:t>
      </w:r>
      <w:r>
        <w:rPr>
          <w:color w:val="202020"/>
          <w:spacing w:val="-7"/>
          <w:sz w:val="22"/>
        </w:rPr>
        <w:t> </w:t>
      </w:r>
      <w:r>
        <w:rPr>
          <w:color w:val="202020"/>
          <w:sz w:val="22"/>
        </w:rPr>
        <w:t>Feb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10;12(2):455.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doi: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10.3390/diagnostics12020455.</w:t>
      </w:r>
      <w:r>
        <w:rPr>
          <w:color w:val="202020"/>
          <w:spacing w:val="-8"/>
          <w:sz w:val="22"/>
        </w:rPr>
        <w:t> </w:t>
      </w:r>
      <w:r>
        <w:rPr>
          <w:color w:val="202020"/>
          <w:sz w:val="22"/>
        </w:rPr>
        <w:t>PMID: 35204546; PMCID: PMC8871474. </w:t>
      </w:r>
      <w:r>
        <w:rPr>
          <w:b/>
          <w:color w:val="202020"/>
          <w:sz w:val="22"/>
        </w:rPr>
        <w:t>IF = 3.6</w:t>
      </w:r>
    </w:p>
    <w:p>
      <w:pPr>
        <w:pStyle w:val="ListParagraph"/>
        <w:numPr>
          <w:ilvl w:val="0"/>
          <w:numId w:val="1"/>
        </w:numPr>
        <w:tabs>
          <w:tab w:pos="834" w:val="left" w:leader="none"/>
          <w:tab w:pos="836" w:val="left" w:leader="none"/>
        </w:tabs>
        <w:spacing w:line="259" w:lineRule="auto" w:before="0" w:after="0"/>
        <w:ind w:left="836" w:right="180" w:hanging="360"/>
        <w:jc w:val="left"/>
        <w:rPr>
          <w:b/>
          <w:sz w:val="22"/>
        </w:rPr>
      </w:pPr>
      <w:r>
        <w:rPr>
          <w:b/>
          <w:color w:val="202020"/>
          <w:sz w:val="22"/>
        </w:rPr>
        <w:t>Nitusca D</w:t>
      </w:r>
      <w:r>
        <w:rPr>
          <w:color w:val="202020"/>
          <w:sz w:val="22"/>
        </w:rPr>
        <w:t>, Marcu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A, Seclaman E,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Bardan R, Sirbu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IO, Balacescu O,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Bucur AI,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Ursoniu S, Marian C. Diagnostic</w:t>
      </w:r>
      <w:r>
        <w:rPr>
          <w:color w:val="202020"/>
          <w:spacing w:val="-1"/>
          <w:sz w:val="22"/>
        </w:rPr>
        <w:t> </w:t>
      </w:r>
      <w:r>
        <w:rPr>
          <w:color w:val="202020"/>
          <w:sz w:val="22"/>
        </w:rPr>
        <w:t>Value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of</w:t>
      </w:r>
      <w:r>
        <w:rPr>
          <w:color w:val="202020"/>
          <w:spacing w:val="-2"/>
          <w:sz w:val="22"/>
        </w:rPr>
        <w:t> </w:t>
      </w:r>
      <w:r>
        <w:rPr>
          <w:color w:val="202020"/>
          <w:sz w:val="22"/>
        </w:rPr>
        <w:t>microRNA-375</w:t>
      </w:r>
      <w:r>
        <w:rPr>
          <w:color w:val="202020"/>
          <w:spacing w:val="-4"/>
          <w:sz w:val="22"/>
        </w:rPr>
        <w:t> </w:t>
      </w:r>
      <w:r>
        <w:rPr>
          <w:color w:val="202020"/>
          <w:sz w:val="22"/>
        </w:rPr>
        <w:t>as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Future</w:t>
      </w:r>
      <w:r>
        <w:rPr>
          <w:color w:val="202020"/>
          <w:spacing w:val="-1"/>
          <w:sz w:val="22"/>
        </w:rPr>
        <w:t> </w:t>
      </w:r>
      <w:r>
        <w:rPr>
          <w:color w:val="202020"/>
          <w:sz w:val="22"/>
        </w:rPr>
        <w:t>Biomarker for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Prostate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Cancer Detection: A Meta-Analysis. Medicina (Kaunas). 2022 Apr 10;58(4):529. doi: 10.3390/medicina58040529. PMID: 35454368; PMCID: PMC9032467. </w:t>
      </w:r>
      <w:r>
        <w:rPr>
          <w:b/>
          <w:color w:val="202020"/>
          <w:sz w:val="22"/>
        </w:rPr>
        <w:t>IF = 2.6</w:t>
      </w:r>
    </w:p>
    <w:p>
      <w:pPr>
        <w:pStyle w:val="ListParagraph"/>
        <w:numPr>
          <w:ilvl w:val="0"/>
          <w:numId w:val="1"/>
        </w:numPr>
        <w:tabs>
          <w:tab w:pos="834" w:val="left" w:leader="none"/>
          <w:tab w:pos="836" w:val="left" w:leader="none"/>
        </w:tabs>
        <w:spacing w:line="259" w:lineRule="auto" w:before="0" w:after="0"/>
        <w:ind w:left="836" w:right="250" w:hanging="360"/>
        <w:jc w:val="left"/>
        <w:rPr>
          <w:b/>
          <w:sz w:val="22"/>
        </w:rPr>
      </w:pPr>
      <w:r>
        <w:rPr>
          <w:color w:val="202020"/>
          <w:sz w:val="22"/>
        </w:rPr>
        <w:t>Iulian Stanciugelu S, Homorogan C, Selaru C, Patrascu JM, Patrascu JM Jr, Stoica R, </w:t>
      </w:r>
      <w:r>
        <w:rPr>
          <w:b/>
          <w:color w:val="202020"/>
          <w:sz w:val="22"/>
        </w:rPr>
        <w:t>Nitusca D*</w:t>
      </w:r>
      <w:r>
        <w:rPr>
          <w:color w:val="202020"/>
          <w:sz w:val="22"/>
        </w:rPr>
        <w:t>,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Marian C.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Osteoarthritis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and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microRNAs: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Do They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Provide Novel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Insights into the Pathophysiology of This Degenerative Disorder? Life (Basel). 2022 Nov 17;12(11):1914. doi: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10.3390/life12111914.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PMID: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36431049;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PMCID: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PMC9692287. </w:t>
      </w:r>
      <w:r>
        <w:rPr>
          <w:b/>
          <w:color w:val="202020"/>
          <w:sz w:val="22"/>
        </w:rPr>
        <w:t>IF</w:t>
      </w:r>
    </w:p>
    <w:p>
      <w:pPr>
        <w:pStyle w:val="Heading2"/>
        <w:spacing w:line="291" w:lineRule="exact"/>
      </w:pPr>
      <w:r>
        <w:rPr>
          <w:color w:val="202020"/>
        </w:rPr>
        <w:t>=</w:t>
      </w:r>
      <w:r>
        <w:rPr>
          <w:color w:val="202020"/>
          <w:spacing w:val="4"/>
        </w:rPr>
        <w:t> </w:t>
      </w:r>
      <w:r>
        <w:rPr>
          <w:color w:val="202020"/>
          <w:spacing w:val="-4"/>
        </w:rPr>
        <w:t>3.253</w:t>
      </w:r>
    </w:p>
    <w:p>
      <w:pPr>
        <w:pStyle w:val="ListParagraph"/>
        <w:numPr>
          <w:ilvl w:val="0"/>
          <w:numId w:val="1"/>
        </w:numPr>
        <w:tabs>
          <w:tab w:pos="834" w:val="left" w:leader="none"/>
          <w:tab w:pos="836" w:val="left" w:leader="none"/>
        </w:tabs>
        <w:spacing w:line="259" w:lineRule="auto" w:before="20" w:after="0"/>
        <w:ind w:left="836" w:right="113" w:hanging="360"/>
        <w:jc w:val="left"/>
        <w:rPr>
          <w:b/>
          <w:sz w:val="22"/>
        </w:rPr>
      </w:pPr>
      <w:r>
        <w:rPr>
          <w:b/>
          <w:color w:val="202020"/>
          <w:sz w:val="22"/>
        </w:rPr>
        <w:t>Nitusca D</w:t>
      </w:r>
      <w:r>
        <w:rPr>
          <w:color w:val="202020"/>
          <w:sz w:val="22"/>
        </w:rPr>
        <w:t>, Marcu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A, Dema</w:t>
      </w:r>
      <w:r>
        <w:rPr>
          <w:color w:val="202020"/>
          <w:spacing w:val="-2"/>
          <w:sz w:val="22"/>
        </w:rPr>
        <w:t> </w:t>
      </w:r>
      <w:r>
        <w:rPr>
          <w:color w:val="202020"/>
          <w:sz w:val="22"/>
        </w:rPr>
        <w:t>A,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Balacescu L,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Balacescu O, Bardan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R,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Cumpanas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AA, Sirbu IO, Petrut B, Seclaman E, Marian C. Long Noncoding RNA NEAT1 as a Potential Candidate Biomarker for Prostate Cancer. Life (Basel). 2021 Apr 6;11(4):320. doi: 10.3390/life11040320. PMID: 33917553; PMCID: PMC8067529. </w:t>
      </w:r>
      <w:r>
        <w:rPr>
          <w:b/>
          <w:color w:val="202020"/>
          <w:sz w:val="22"/>
        </w:rPr>
        <w:t>IF = 3.251</w:t>
      </w:r>
    </w:p>
    <w:p>
      <w:pPr>
        <w:pStyle w:val="ListParagraph"/>
        <w:numPr>
          <w:ilvl w:val="0"/>
          <w:numId w:val="1"/>
        </w:numPr>
        <w:tabs>
          <w:tab w:pos="834" w:val="left" w:leader="none"/>
          <w:tab w:pos="836" w:val="left" w:leader="none"/>
        </w:tabs>
        <w:spacing w:line="259" w:lineRule="auto" w:before="0" w:after="0"/>
        <w:ind w:left="836" w:right="233" w:hanging="360"/>
        <w:jc w:val="left"/>
        <w:rPr>
          <w:b/>
          <w:sz w:val="22"/>
        </w:rPr>
      </w:pPr>
      <w:r>
        <w:rPr>
          <w:color w:val="202020"/>
          <w:sz w:val="22"/>
        </w:rPr>
        <w:t>Homorogan C¶, </w:t>
      </w:r>
      <w:r>
        <w:rPr>
          <w:b/>
          <w:color w:val="202020"/>
          <w:sz w:val="22"/>
        </w:rPr>
        <w:t>Nitusca D</w:t>
      </w:r>
      <w:r>
        <w:rPr>
          <w:color w:val="202020"/>
          <w:sz w:val="22"/>
        </w:rPr>
        <w:t>¶, Enatescu V, Schubart P, Moraru C, Socaciu C, Marian C. Untargeted</w:t>
      </w:r>
      <w:r>
        <w:rPr>
          <w:color w:val="202020"/>
          <w:spacing w:val="-7"/>
          <w:sz w:val="22"/>
        </w:rPr>
        <w:t> </w:t>
      </w:r>
      <w:r>
        <w:rPr>
          <w:color w:val="202020"/>
          <w:sz w:val="22"/>
        </w:rPr>
        <w:t>Plasma</w:t>
      </w:r>
      <w:r>
        <w:rPr>
          <w:color w:val="202020"/>
          <w:spacing w:val="-4"/>
          <w:sz w:val="22"/>
        </w:rPr>
        <w:t> </w:t>
      </w:r>
      <w:r>
        <w:rPr>
          <w:color w:val="202020"/>
          <w:sz w:val="22"/>
        </w:rPr>
        <w:t>Metabolomic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Profiling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in</w:t>
      </w:r>
      <w:r>
        <w:rPr>
          <w:color w:val="202020"/>
          <w:spacing w:val="-2"/>
          <w:sz w:val="22"/>
        </w:rPr>
        <w:t> </w:t>
      </w:r>
      <w:r>
        <w:rPr>
          <w:color w:val="202020"/>
          <w:sz w:val="22"/>
        </w:rPr>
        <w:t>Patients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with</w:t>
      </w:r>
      <w:r>
        <w:rPr>
          <w:color w:val="202020"/>
          <w:spacing w:val="-2"/>
          <w:sz w:val="22"/>
        </w:rPr>
        <w:t> </w:t>
      </w:r>
      <w:r>
        <w:rPr>
          <w:color w:val="202020"/>
          <w:sz w:val="22"/>
        </w:rPr>
        <w:t>Major</w:t>
      </w:r>
      <w:r>
        <w:rPr>
          <w:color w:val="202020"/>
          <w:spacing w:val="-2"/>
          <w:sz w:val="22"/>
        </w:rPr>
        <w:t> </w:t>
      </w:r>
      <w:r>
        <w:rPr>
          <w:color w:val="202020"/>
          <w:sz w:val="22"/>
        </w:rPr>
        <w:t>Depressive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Disorder Using Ultra-High Performance Liquid Chromatography Coupled with Mass Spectrometry. Metabolites. 2021 Jul 20;11(7):466. doi: 10.3390/metabo11070466. PMID: 34357360; PMCID: PMC8306682. ¶ = equal contribution </w:t>
      </w:r>
      <w:r>
        <w:rPr>
          <w:b/>
          <w:color w:val="202020"/>
          <w:sz w:val="22"/>
        </w:rPr>
        <w:t>IF = 4.932</w:t>
      </w:r>
    </w:p>
    <w:p>
      <w:pPr>
        <w:pStyle w:val="BodyText"/>
        <w:spacing w:before="146"/>
        <w:ind w:left="0" w:firstLine="0"/>
        <w:rPr>
          <w:b/>
        </w:rPr>
      </w:pPr>
    </w:p>
    <w:p>
      <w:pPr>
        <w:pStyle w:val="Heading1"/>
        <w:spacing w:line="237" w:lineRule="auto"/>
        <w:rPr>
          <w:rFonts w:ascii="Arial MT" w:hAnsi="Arial MT"/>
          <w:b w:val="0"/>
        </w:rPr>
      </w:pPr>
      <w:r>
        <w:rPr/>
        <w:t>Lucrări publicate</w:t>
      </w:r>
      <w:r>
        <w:rPr>
          <w:spacing w:val="26"/>
        </w:rPr>
        <w:t> </w:t>
      </w:r>
      <w:r>
        <w:rPr/>
        <w:t>in</w:t>
      </w:r>
      <w:r>
        <w:rPr>
          <w:spacing w:val="27"/>
        </w:rPr>
        <w:t> </w:t>
      </w:r>
      <w:r>
        <w:rPr/>
        <w:t>extenso</w:t>
      </w:r>
      <w:r>
        <w:rPr>
          <w:spacing w:val="27"/>
        </w:rPr>
        <w:t> </w:t>
      </w:r>
      <w:r>
        <w:rPr/>
        <w:t>ca</w:t>
      </w:r>
      <w:r>
        <w:rPr>
          <w:spacing w:val="26"/>
        </w:rPr>
        <w:t> </w:t>
      </w:r>
      <w:r>
        <w:rPr/>
        <w:t>și co-autor în</w:t>
      </w:r>
      <w:r>
        <w:rPr>
          <w:spacing w:val="27"/>
        </w:rPr>
        <w:t> </w:t>
      </w:r>
      <w:r>
        <w:rPr/>
        <w:t>reviste</w:t>
      </w:r>
      <w:r>
        <w:rPr>
          <w:spacing w:val="26"/>
        </w:rPr>
        <w:t> </w:t>
      </w:r>
      <w:r>
        <w:rPr/>
        <w:t>ISI recunoscute</w:t>
      </w:r>
      <w:r>
        <w:rPr>
          <w:spacing w:val="26"/>
        </w:rPr>
        <w:t> </w:t>
      </w:r>
      <w:r>
        <w:rPr/>
        <w:t>la nivel </w:t>
      </w:r>
      <w:r>
        <w:rPr>
          <w:spacing w:val="-2"/>
        </w:rPr>
        <w:t>internațional</w:t>
      </w:r>
      <w:r>
        <w:rPr>
          <w:rFonts w:ascii="Arial MT" w:hAnsi="Arial MT"/>
          <w:b w:val="0"/>
          <w:spacing w:val="-2"/>
        </w:rPr>
        <w:t>:</w:t>
      </w:r>
    </w:p>
    <w:p>
      <w:pPr>
        <w:pStyle w:val="ListParagraph"/>
        <w:numPr>
          <w:ilvl w:val="0"/>
          <w:numId w:val="2"/>
        </w:numPr>
        <w:tabs>
          <w:tab w:pos="834" w:val="left" w:leader="none"/>
          <w:tab w:pos="836" w:val="left" w:leader="none"/>
        </w:tabs>
        <w:spacing w:line="259" w:lineRule="auto" w:before="275" w:after="0"/>
        <w:ind w:left="836" w:right="262" w:hanging="360"/>
        <w:jc w:val="left"/>
        <w:rPr>
          <w:color w:val="202020"/>
          <w:sz w:val="22"/>
        </w:rPr>
      </w:pPr>
      <w:r>
        <w:rPr>
          <w:color w:val="202020"/>
          <w:sz w:val="22"/>
        </w:rPr>
        <w:t>Moatar AI,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Chis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AR,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Romanescu M,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Ciordas PD,</w:t>
      </w:r>
      <w:r>
        <w:rPr>
          <w:color w:val="202020"/>
          <w:spacing w:val="-5"/>
          <w:sz w:val="22"/>
        </w:rPr>
        <w:t> </w:t>
      </w:r>
      <w:r>
        <w:rPr>
          <w:b/>
          <w:color w:val="202020"/>
          <w:sz w:val="22"/>
        </w:rPr>
        <w:t>Nitusca D</w:t>
      </w:r>
      <w:r>
        <w:rPr>
          <w:color w:val="202020"/>
          <w:sz w:val="22"/>
        </w:rPr>
        <w:t>,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Marian C,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Oancea</w:t>
      </w:r>
      <w:r>
        <w:rPr>
          <w:color w:val="202020"/>
          <w:spacing w:val="-2"/>
          <w:sz w:val="22"/>
        </w:rPr>
        <w:t> </w:t>
      </w:r>
      <w:r>
        <w:rPr>
          <w:color w:val="202020"/>
          <w:sz w:val="22"/>
        </w:rPr>
        <w:t>C,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Sirbu IO. Plasma miR-195-5p predicts the severity of Covid-19 in hospitalized patients. Sci Rep. 2023 Aug 23;13(1):13806. doi: 10.1038/s41598-023-40754-w. PMID: 37612439; PMCID: PMC10447562. </w:t>
      </w:r>
      <w:r>
        <w:rPr>
          <w:b/>
          <w:color w:val="202020"/>
          <w:sz w:val="22"/>
        </w:rPr>
        <w:t>IF = 4.997</w:t>
      </w:r>
    </w:p>
    <w:p>
      <w:pPr>
        <w:pStyle w:val="ListParagraph"/>
        <w:numPr>
          <w:ilvl w:val="0"/>
          <w:numId w:val="2"/>
        </w:numPr>
        <w:tabs>
          <w:tab w:pos="834" w:val="left" w:leader="none"/>
          <w:tab w:pos="836" w:val="left" w:leader="none"/>
        </w:tabs>
        <w:spacing w:line="259" w:lineRule="auto" w:before="0" w:after="0"/>
        <w:ind w:left="836" w:right="387" w:hanging="360"/>
        <w:jc w:val="left"/>
        <w:rPr>
          <w:color w:val="202020"/>
          <w:sz w:val="22"/>
        </w:rPr>
      </w:pPr>
      <w:r>
        <w:rPr>
          <w:color w:val="202020"/>
          <w:sz w:val="22"/>
        </w:rPr>
        <w:t>Marin AM, Popovici DC, Dărăbuș G, Marian C, </w:t>
      </w:r>
      <w:r>
        <w:rPr>
          <w:b/>
          <w:color w:val="202020"/>
          <w:sz w:val="22"/>
        </w:rPr>
        <w:t>Nițușcă D</w:t>
      </w:r>
      <w:r>
        <w:rPr>
          <w:color w:val="202020"/>
          <w:sz w:val="22"/>
        </w:rPr>
        <w:t>, Mederle N. The First Identification</w:t>
      </w:r>
      <w:r>
        <w:rPr>
          <w:color w:val="202020"/>
          <w:spacing w:val="-1"/>
          <w:sz w:val="22"/>
        </w:rPr>
        <w:t> </w:t>
      </w:r>
      <w:r>
        <w:rPr>
          <w:color w:val="202020"/>
          <w:sz w:val="22"/>
        </w:rPr>
        <w:t>of</w:t>
      </w:r>
      <w:r>
        <w:rPr>
          <w:color w:val="202020"/>
          <w:spacing w:val="-3"/>
          <w:sz w:val="22"/>
        </w:rPr>
        <w:t> </w:t>
      </w:r>
      <w:r>
        <w:rPr>
          <w:i/>
          <w:color w:val="202020"/>
          <w:sz w:val="22"/>
        </w:rPr>
        <w:t>Trichinella</w:t>
      </w:r>
      <w:r>
        <w:rPr>
          <w:i/>
          <w:color w:val="202020"/>
          <w:spacing w:val="-6"/>
          <w:sz w:val="22"/>
        </w:rPr>
        <w:t> </w:t>
      </w:r>
      <w:r>
        <w:rPr>
          <w:i/>
          <w:color w:val="202020"/>
          <w:sz w:val="22"/>
        </w:rPr>
        <w:t>britovi</w:t>
      </w:r>
      <w:r>
        <w:rPr>
          <w:i/>
          <w:color w:val="202020"/>
          <w:spacing w:val="-1"/>
          <w:sz w:val="22"/>
        </w:rPr>
        <w:t> </w:t>
      </w:r>
      <w:r>
        <w:rPr>
          <w:color w:val="202020"/>
          <w:sz w:val="22"/>
        </w:rPr>
        <w:t>in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the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Raccoon</w:t>
      </w:r>
      <w:r>
        <w:rPr>
          <w:color w:val="202020"/>
          <w:spacing w:val="-10"/>
          <w:sz w:val="22"/>
        </w:rPr>
        <w:t> </w:t>
      </w:r>
      <w:r>
        <w:rPr>
          <w:color w:val="202020"/>
          <w:sz w:val="22"/>
        </w:rPr>
        <w:t>Dog</w:t>
      </w:r>
      <w:r>
        <w:rPr>
          <w:color w:val="202020"/>
          <w:spacing w:val="-2"/>
          <w:sz w:val="22"/>
        </w:rPr>
        <w:t> </w:t>
      </w:r>
      <w:r>
        <w:rPr>
          <w:color w:val="202020"/>
          <w:sz w:val="22"/>
        </w:rPr>
        <w:t>(</w:t>
      </w:r>
      <w:r>
        <w:rPr>
          <w:i/>
          <w:color w:val="202020"/>
          <w:sz w:val="22"/>
        </w:rPr>
        <w:t>Nyctereutes</w:t>
      </w:r>
      <w:r>
        <w:rPr>
          <w:i/>
          <w:color w:val="202020"/>
          <w:spacing w:val="-2"/>
          <w:sz w:val="22"/>
        </w:rPr>
        <w:t> </w:t>
      </w:r>
      <w:r>
        <w:rPr>
          <w:i/>
          <w:color w:val="202020"/>
          <w:sz w:val="22"/>
        </w:rPr>
        <w:t>procyonoides)</w:t>
      </w:r>
      <w:r>
        <w:rPr>
          <w:i/>
          <w:color w:val="202020"/>
          <w:spacing w:val="-1"/>
          <w:sz w:val="22"/>
        </w:rPr>
        <w:t> </w:t>
      </w:r>
      <w:r>
        <w:rPr>
          <w:color w:val="202020"/>
          <w:sz w:val="22"/>
        </w:rPr>
        <w:t>in</w:t>
      </w:r>
    </w:p>
    <w:p>
      <w:pPr>
        <w:spacing w:after="0" w:line="259" w:lineRule="auto"/>
        <w:jc w:val="left"/>
        <w:rPr>
          <w:sz w:val="22"/>
        </w:rPr>
        <w:sectPr>
          <w:type w:val="continuous"/>
          <w:pgSz w:w="11910" w:h="16840"/>
          <w:pgMar w:top="1340" w:bottom="280" w:left="1300" w:right="1300"/>
        </w:sectPr>
      </w:pPr>
    </w:p>
    <w:p>
      <w:pPr>
        <w:pStyle w:val="BodyText"/>
        <w:spacing w:line="259" w:lineRule="auto" w:before="75"/>
        <w:ind w:firstLine="0"/>
        <w:rPr>
          <w:b/>
        </w:rPr>
      </w:pPr>
      <w:r>
        <w:rPr>
          <w:color w:val="202020"/>
        </w:rPr>
        <w:t>Romania.</w:t>
      </w:r>
      <w:r>
        <w:rPr>
          <w:color w:val="202020"/>
          <w:spacing w:val="-3"/>
        </w:rPr>
        <w:t> </w:t>
      </w:r>
      <w:r>
        <w:rPr>
          <w:color w:val="202020"/>
        </w:rPr>
        <w:t>Pathogens.</w:t>
      </w:r>
      <w:r>
        <w:rPr>
          <w:color w:val="202020"/>
          <w:spacing w:val="-3"/>
        </w:rPr>
        <w:t> </w:t>
      </w:r>
      <w:r>
        <w:rPr>
          <w:color w:val="202020"/>
        </w:rPr>
        <w:t>2023</w:t>
      </w:r>
      <w:r>
        <w:rPr>
          <w:color w:val="202020"/>
          <w:spacing w:val="-7"/>
        </w:rPr>
        <w:t> </w:t>
      </w:r>
      <w:r>
        <w:rPr>
          <w:color w:val="202020"/>
        </w:rPr>
        <w:t>Sep</w:t>
      </w:r>
      <w:r>
        <w:rPr>
          <w:color w:val="202020"/>
          <w:spacing w:val="-3"/>
        </w:rPr>
        <w:t> </w:t>
      </w:r>
      <w:r>
        <w:rPr>
          <w:color w:val="202020"/>
        </w:rPr>
        <w:t>5;12(9):1132.</w:t>
      </w:r>
      <w:r>
        <w:rPr>
          <w:color w:val="202020"/>
          <w:spacing w:val="-3"/>
        </w:rPr>
        <w:t> </w:t>
      </w:r>
      <w:r>
        <w:rPr>
          <w:color w:val="202020"/>
        </w:rPr>
        <w:t>doi:</w:t>
      </w:r>
      <w:r>
        <w:rPr>
          <w:color w:val="202020"/>
          <w:spacing w:val="-8"/>
        </w:rPr>
        <w:t> </w:t>
      </w:r>
      <w:r>
        <w:rPr>
          <w:color w:val="202020"/>
        </w:rPr>
        <w:t>10.3390/pathogens12091132.</w:t>
      </w:r>
      <w:r>
        <w:rPr>
          <w:color w:val="202020"/>
          <w:spacing w:val="-8"/>
        </w:rPr>
        <w:t> </w:t>
      </w:r>
      <w:r>
        <w:rPr>
          <w:color w:val="202020"/>
        </w:rPr>
        <w:t>PMID: 37764940; PMCID: PMC10535435. </w:t>
      </w:r>
      <w:r>
        <w:rPr>
          <w:b/>
          <w:color w:val="202020"/>
        </w:rPr>
        <w:t>IF = 3.7</w:t>
      </w:r>
    </w:p>
    <w:p>
      <w:pPr>
        <w:pStyle w:val="ListParagraph"/>
        <w:numPr>
          <w:ilvl w:val="0"/>
          <w:numId w:val="2"/>
        </w:numPr>
        <w:tabs>
          <w:tab w:pos="834" w:val="left" w:leader="none"/>
          <w:tab w:pos="836" w:val="left" w:leader="none"/>
        </w:tabs>
        <w:spacing w:line="259" w:lineRule="auto" w:before="2" w:after="0"/>
        <w:ind w:left="836" w:right="179" w:hanging="360"/>
        <w:jc w:val="left"/>
        <w:rPr>
          <w:color w:val="202020"/>
          <w:sz w:val="22"/>
        </w:rPr>
      </w:pPr>
      <w:r>
        <w:rPr>
          <w:color w:val="202020"/>
          <w:sz w:val="22"/>
        </w:rPr>
        <w:t>Da Cunha PA, </w:t>
      </w:r>
      <w:r>
        <w:rPr>
          <w:b/>
          <w:color w:val="202020"/>
          <w:sz w:val="22"/>
        </w:rPr>
        <w:t>Nitusca D</w:t>
      </w:r>
      <w:r>
        <w:rPr>
          <w:color w:val="202020"/>
          <w:sz w:val="22"/>
        </w:rPr>
        <w:t>, Canto LMD, Varghese RS, Ressom HW, Willey S, Marian C, Haddad</w:t>
      </w:r>
      <w:r>
        <w:rPr>
          <w:color w:val="202020"/>
          <w:spacing w:val="-1"/>
          <w:sz w:val="22"/>
        </w:rPr>
        <w:t> </w:t>
      </w:r>
      <w:r>
        <w:rPr>
          <w:color w:val="202020"/>
          <w:sz w:val="22"/>
        </w:rPr>
        <w:t>BR. Metabolomic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Analysis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of</w:t>
      </w:r>
      <w:r>
        <w:rPr>
          <w:color w:val="202020"/>
          <w:spacing w:val="-2"/>
          <w:sz w:val="22"/>
        </w:rPr>
        <w:t> </w:t>
      </w:r>
      <w:r>
        <w:rPr>
          <w:color w:val="202020"/>
          <w:sz w:val="22"/>
        </w:rPr>
        <w:t>Plasma</w:t>
      </w:r>
      <w:r>
        <w:rPr>
          <w:color w:val="202020"/>
          <w:spacing w:val="-2"/>
          <w:sz w:val="22"/>
        </w:rPr>
        <w:t> </w:t>
      </w:r>
      <w:r>
        <w:rPr>
          <w:color w:val="202020"/>
          <w:sz w:val="22"/>
        </w:rPr>
        <w:t>from</w:t>
      </w:r>
      <w:r>
        <w:rPr>
          <w:color w:val="202020"/>
          <w:spacing w:val="-8"/>
          <w:sz w:val="22"/>
        </w:rPr>
        <w:t> </w:t>
      </w:r>
      <w:r>
        <w:rPr>
          <w:color w:val="202020"/>
          <w:sz w:val="22"/>
        </w:rPr>
        <w:t>Breast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Cancer Patients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Using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Ultra- High-Performance Liquid Chromatography Coupled with Mass Spectrometry: An Untargeted Study. Metabolites. 2022 May 17;12(5):447. doi: 10.3390/metabo12050447. PMID: 35629952; PMCID: PMC9147455. </w:t>
      </w:r>
      <w:r>
        <w:rPr>
          <w:b/>
          <w:color w:val="202020"/>
          <w:sz w:val="22"/>
        </w:rPr>
        <w:t>IF = 4.1</w:t>
      </w:r>
    </w:p>
    <w:p>
      <w:pPr>
        <w:pStyle w:val="ListParagraph"/>
        <w:numPr>
          <w:ilvl w:val="0"/>
          <w:numId w:val="2"/>
        </w:numPr>
        <w:tabs>
          <w:tab w:pos="834" w:val="left" w:leader="none"/>
          <w:tab w:pos="836" w:val="left" w:leader="none"/>
        </w:tabs>
        <w:spacing w:line="259" w:lineRule="auto" w:before="0" w:after="0"/>
        <w:ind w:left="836" w:right="564" w:hanging="360"/>
        <w:jc w:val="left"/>
        <w:rPr>
          <w:color w:val="202020"/>
          <w:sz w:val="22"/>
        </w:rPr>
      </w:pPr>
      <w:r>
        <w:rPr>
          <w:color w:val="202020"/>
          <w:sz w:val="22"/>
        </w:rPr>
        <w:t>Borta SM, Donath-Miklos I, Popetiu R, Nica DV, </w:t>
      </w:r>
      <w:r>
        <w:rPr>
          <w:b/>
          <w:color w:val="202020"/>
          <w:sz w:val="22"/>
        </w:rPr>
        <w:t>Nitusca D</w:t>
      </w:r>
      <w:r>
        <w:rPr>
          <w:color w:val="202020"/>
          <w:sz w:val="22"/>
        </w:rPr>
        <w:t>, Crisan A, Marian C, Puschita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M.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Mannose-binding</w:t>
      </w:r>
      <w:r>
        <w:rPr>
          <w:color w:val="202020"/>
          <w:spacing w:val="-2"/>
          <w:sz w:val="22"/>
        </w:rPr>
        <w:t> </w:t>
      </w:r>
      <w:r>
        <w:rPr>
          <w:color w:val="202020"/>
          <w:sz w:val="22"/>
        </w:rPr>
        <w:t>lectin</w:t>
      </w:r>
      <w:r>
        <w:rPr>
          <w:color w:val="202020"/>
          <w:spacing w:val="-1"/>
          <w:sz w:val="22"/>
        </w:rPr>
        <w:t> </w:t>
      </w:r>
      <w:r>
        <w:rPr>
          <w:color w:val="202020"/>
          <w:sz w:val="22"/>
        </w:rPr>
        <w:t>2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gene</w:t>
      </w:r>
      <w:r>
        <w:rPr>
          <w:color w:val="202020"/>
          <w:spacing w:val="-1"/>
          <w:sz w:val="22"/>
        </w:rPr>
        <w:t> </w:t>
      </w:r>
      <w:r>
        <w:rPr>
          <w:color w:val="202020"/>
          <w:sz w:val="22"/>
        </w:rPr>
        <w:t>polymorphisms and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predisposition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to allergic bronchial asthma in a western Romanian children population: an observational study. J Int Med Res. 2022 Jul;50(7):3000605221109389. doi: 10.1177/03000605221109389. PMID: 35818159; PMCID: PMC9280823. </w:t>
      </w:r>
      <w:r>
        <w:rPr>
          <w:b/>
          <w:color w:val="202020"/>
          <w:sz w:val="22"/>
        </w:rPr>
        <w:t>IF = 1.6</w:t>
      </w:r>
    </w:p>
    <w:p>
      <w:pPr>
        <w:pStyle w:val="ListParagraph"/>
        <w:numPr>
          <w:ilvl w:val="0"/>
          <w:numId w:val="2"/>
        </w:numPr>
        <w:tabs>
          <w:tab w:pos="834" w:val="left" w:leader="none"/>
          <w:tab w:pos="836" w:val="left" w:leader="none"/>
        </w:tabs>
        <w:spacing w:line="259" w:lineRule="auto" w:before="0" w:after="0"/>
        <w:ind w:left="836" w:right="257" w:hanging="360"/>
        <w:jc w:val="left"/>
        <w:rPr>
          <w:color w:val="202020"/>
          <w:sz w:val="22"/>
        </w:rPr>
      </w:pPr>
      <w:r>
        <w:rPr>
          <w:color w:val="202020"/>
          <w:sz w:val="22"/>
        </w:rPr>
        <w:t>Marcu A, </w:t>
      </w:r>
      <w:r>
        <w:rPr>
          <w:b/>
          <w:color w:val="202020"/>
          <w:sz w:val="22"/>
        </w:rPr>
        <w:t>Nitusca D</w:t>
      </w:r>
      <w:r>
        <w:rPr>
          <w:color w:val="202020"/>
          <w:sz w:val="22"/>
        </w:rPr>
        <w:t>, Vaduva A, Baderca F, Cireap N, Coricovac D, Dehelean CA, Seclaman E, Ilina R, Marian C. Long Non-Coding RNA Expression in Laser Micro- Dissected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Luminal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A</w:t>
      </w:r>
      <w:r>
        <w:rPr>
          <w:color w:val="202020"/>
          <w:spacing w:val="-4"/>
          <w:sz w:val="22"/>
        </w:rPr>
        <w:t> </w:t>
      </w:r>
      <w:r>
        <w:rPr>
          <w:color w:val="202020"/>
          <w:sz w:val="22"/>
        </w:rPr>
        <w:t>and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Triple</w:t>
      </w:r>
      <w:r>
        <w:rPr>
          <w:color w:val="202020"/>
          <w:spacing w:val="-2"/>
          <w:sz w:val="22"/>
        </w:rPr>
        <w:t> </w:t>
      </w:r>
      <w:r>
        <w:rPr>
          <w:color w:val="202020"/>
          <w:sz w:val="22"/>
        </w:rPr>
        <w:t>Negative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Breast</w:t>
      </w:r>
      <w:r>
        <w:rPr>
          <w:color w:val="202020"/>
          <w:spacing w:val="-4"/>
          <w:sz w:val="22"/>
        </w:rPr>
        <w:t> </w:t>
      </w:r>
      <w:r>
        <w:rPr>
          <w:color w:val="202020"/>
          <w:sz w:val="22"/>
        </w:rPr>
        <w:t>Cancer</w:t>
      </w:r>
      <w:r>
        <w:rPr>
          <w:color w:val="202020"/>
          <w:spacing w:val="-2"/>
          <w:sz w:val="22"/>
        </w:rPr>
        <w:t> </w:t>
      </w:r>
      <w:r>
        <w:rPr>
          <w:color w:val="202020"/>
          <w:sz w:val="22"/>
        </w:rPr>
        <w:t>Tissue</w:t>
      </w:r>
      <w:r>
        <w:rPr>
          <w:color w:val="202020"/>
          <w:spacing w:val="-2"/>
          <w:sz w:val="22"/>
        </w:rPr>
        <w:t> </w:t>
      </w:r>
      <w:r>
        <w:rPr>
          <w:color w:val="202020"/>
          <w:sz w:val="22"/>
        </w:rPr>
        <w:t>Samples-A</w:t>
      </w:r>
      <w:r>
        <w:rPr>
          <w:color w:val="202020"/>
          <w:spacing w:val="-1"/>
          <w:sz w:val="22"/>
        </w:rPr>
        <w:t> </w:t>
      </w:r>
      <w:r>
        <w:rPr>
          <w:color w:val="202020"/>
          <w:sz w:val="22"/>
        </w:rPr>
        <w:t>Pilot Study. Medicina (Kaunas). 2021 Apr 12;57(4):371. doi: 10.3390/medicina57040371. PMID: 33921283; PMCID: PMC8069050. </w:t>
      </w:r>
      <w:r>
        <w:rPr>
          <w:b/>
          <w:color w:val="202020"/>
          <w:sz w:val="22"/>
        </w:rPr>
        <w:t>IF = 2.948</w:t>
      </w:r>
    </w:p>
    <w:p>
      <w:pPr>
        <w:pStyle w:val="ListParagraph"/>
        <w:numPr>
          <w:ilvl w:val="0"/>
          <w:numId w:val="2"/>
        </w:numPr>
        <w:tabs>
          <w:tab w:pos="834" w:val="left" w:leader="none"/>
          <w:tab w:pos="836" w:val="left" w:leader="none"/>
        </w:tabs>
        <w:spacing w:line="259" w:lineRule="auto" w:before="0" w:after="0"/>
        <w:ind w:left="836" w:right="113" w:hanging="360"/>
        <w:jc w:val="left"/>
        <w:rPr>
          <w:color w:val="202020"/>
          <w:sz w:val="22"/>
        </w:rPr>
      </w:pPr>
      <w:r>
        <w:rPr>
          <w:color w:val="202020"/>
          <w:sz w:val="22"/>
        </w:rPr>
        <w:t>Homorogan C, Enatescu VR, </w:t>
      </w:r>
      <w:r>
        <w:rPr>
          <w:b/>
          <w:color w:val="202020"/>
          <w:sz w:val="22"/>
        </w:rPr>
        <w:t>Nitusca D</w:t>
      </w:r>
      <w:r>
        <w:rPr>
          <w:color w:val="202020"/>
          <w:sz w:val="22"/>
        </w:rPr>
        <w:t>, Marcu A, Seclaman E, Marian C. Distribution</w:t>
      </w:r>
      <w:r>
        <w:rPr>
          <w:color w:val="202020"/>
          <w:spacing w:val="40"/>
          <w:sz w:val="22"/>
        </w:rPr>
        <w:t> </w:t>
      </w:r>
      <w:r>
        <w:rPr>
          <w:color w:val="202020"/>
          <w:sz w:val="22"/>
        </w:rPr>
        <w:t>of</w:t>
      </w:r>
      <w:r>
        <w:rPr>
          <w:color w:val="202020"/>
          <w:spacing w:val="-4"/>
          <w:sz w:val="22"/>
        </w:rPr>
        <w:t> </w:t>
      </w:r>
      <w:r>
        <w:rPr>
          <w:color w:val="202020"/>
          <w:sz w:val="22"/>
        </w:rPr>
        <w:t>microRNAs associated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with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major</w:t>
      </w:r>
      <w:r>
        <w:rPr>
          <w:color w:val="202020"/>
          <w:spacing w:val="-2"/>
          <w:sz w:val="22"/>
        </w:rPr>
        <w:t> </w:t>
      </w:r>
      <w:r>
        <w:rPr>
          <w:color w:val="202020"/>
          <w:sz w:val="22"/>
        </w:rPr>
        <w:t>depressive</w:t>
      </w:r>
      <w:r>
        <w:rPr>
          <w:color w:val="202020"/>
          <w:spacing w:val="-2"/>
          <w:sz w:val="22"/>
        </w:rPr>
        <w:t> </w:t>
      </w:r>
      <w:r>
        <w:rPr>
          <w:color w:val="202020"/>
          <w:sz w:val="22"/>
        </w:rPr>
        <w:t>disorder</w:t>
      </w:r>
      <w:r>
        <w:rPr>
          <w:color w:val="202020"/>
          <w:spacing w:val="-2"/>
          <w:sz w:val="22"/>
        </w:rPr>
        <w:t> </w:t>
      </w:r>
      <w:r>
        <w:rPr>
          <w:color w:val="202020"/>
          <w:sz w:val="22"/>
        </w:rPr>
        <w:t>among</w:t>
      </w:r>
      <w:r>
        <w:rPr>
          <w:color w:val="202020"/>
          <w:spacing w:val="-3"/>
          <w:sz w:val="22"/>
        </w:rPr>
        <w:t> </w:t>
      </w:r>
      <w:r>
        <w:rPr>
          <w:color w:val="202020"/>
          <w:sz w:val="22"/>
        </w:rPr>
        <w:t>blood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compartments. J Int Med Res. 2021 Apr;49(4):3000605211006633. doi: 10.1177/03000605211006633. PMID: 33827323; PMCID: PMC8040584. </w:t>
      </w:r>
      <w:r>
        <w:rPr>
          <w:b/>
          <w:color w:val="202020"/>
          <w:sz w:val="22"/>
        </w:rPr>
        <w:t>IF = 1.6</w:t>
      </w:r>
    </w:p>
    <w:p>
      <w:pPr>
        <w:pStyle w:val="ListParagraph"/>
        <w:numPr>
          <w:ilvl w:val="0"/>
          <w:numId w:val="2"/>
        </w:numPr>
        <w:tabs>
          <w:tab w:pos="834" w:val="left" w:leader="none"/>
          <w:tab w:pos="836" w:val="left" w:leader="none"/>
        </w:tabs>
        <w:spacing w:line="259" w:lineRule="auto" w:before="0" w:after="0"/>
        <w:ind w:left="836" w:right="202" w:hanging="360"/>
        <w:jc w:val="left"/>
        <w:rPr>
          <w:color w:val="202020"/>
          <w:sz w:val="22"/>
        </w:rPr>
      </w:pPr>
      <w:r>
        <w:rPr>
          <w:color w:val="202020"/>
          <w:sz w:val="22"/>
        </w:rPr>
        <w:t>Homorogan C,</w:t>
      </w:r>
      <w:r>
        <w:rPr>
          <w:color w:val="202020"/>
          <w:spacing w:val="-4"/>
          <w:sz w:val="22"/>
        </w:rPr>
        <w:t> </w:t>
      </w:r>
      <w:r>
        <w:rPr>
          <w:b/>
          <w:color w:val="202020"/>
          <w:sz w:val="22"/>
        </w:rPr>
        <w:t>Nitusca</w:t>
      </w:r>
      <w:r>
        <w:rPr>
          <w:b/>
          <w:color w:val="202020"/>
          <w:spacing w:val="-3"/>
          <w:sz w:val="22"/>
        </w:rPr>
        <w:t> </w:t>
      </w:r>
      <w:r>
        <w:rPr>
          <w:b/>
          <w:color w:val="202020"/>
          <w:sz w:val="22"/>
        </w:rPr>
        <w:t>D</w:t>
      </w:r>
      <w:r>
        <w:rPr>
          <w:color w:val="202020"/>
          <w:sz w:val="22"/>
        </w:rPr>
        <w:t>, Seclaman E,</w:t>
      </w:r>
      <w:r>
        <w:rPr>
          <w:color w:val="202020"/>
          <w:spacing w:val="-4"/>
          <w:sz w:val="22"/>
        </w:rPr>
        <w:t> </w:t>
      </w:r>
      <w:r>
        <w:rPr>
          <w:color w:val="202020"/>
          <w:sz w:val="22"/>
        </w:rPr>
        <w:t>Enatescu</w:t>
      </w:r>
      <w:r>
        <w:rPr>
          <w:color w:val="202020"/>
          <w:spacing w:val="-4"/>
          <w:sz w:val="22"/>
        </w:rPr>
        <w:t> </w:t>
      </w:r>
      <w:r>
        <w:rPr>
          <w:color w:val="202020"/>
          <w:sz w:val="22"/>
        </w:rPr>
        <w:t>V,</w:t>
      </w:r>
      <w:r>
        <w:rPr>
          <w:color w:val="202020"/>
          <w:spacing w:val="-4"/>
          <w:sz w:val="22"/>
        </w:rPr>
        <w:t> </w:t>
      </w:r>
      <w:r>
        <w:rPr>
          <w:color w:val="202020"/>
          <w:sz w:val="22"/>
        </w:rPr>
        <w:t>Marian C.</w:t>
      </w:r>
      <w:r>
        <w:rPr>
          <w:color w:val="202020"/>
          <w:spacing w:val="-4"/>
          <w:sz w:val="22"/>
        </w:rPr>
        <w:t> </w:t>
      </w:r>
      <w:r>
        <w:rPr>
          <w:color w:val="202020"/>
          <w:sz w:val="22"/>
        </w:rPr>
        <w:t>Uncovering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the</w:t>
      </w:r>
      <w:r>
        <w:rPr>
          <w:color w:val="202020"/>
          <w:spacing w:val="-4"/>
          <w:sz w:val="22"/>
        </w:rPr>
        <w:t> </w:t>
      </w:r>
      <w:r>
        <w:rPr>
          <w:color w:val="202020"/>
          <w:sz w:val="22"/>
        </w:rPr>
        <w:t>Roles of MicroRNAs in Major Depressive Disorder: From Candidate Diagnostic Biomarkers to Treatment Response Indicators. Life (Basel). 2021 Oct 11;11(10):1073. doi: 10.3390/life11101073. PMID: 34685444; PMCID: PMC8538902. </w:t>
      </w:r>
      <w:r>
        <w:rPr>
          <w:b/>
          <w:color w:val="202020"/>
          <w:sz w:val="22"/>
        </w:rPr>
        <w:t>IF = 3.251</w:t>
      </w:r>
    </w:p>
    <w:p>
      <w:pPr>
        <w:pStyle w:val="ListParagraph"/>
        <w:numPr>
          <w:ilvl w:val="0"/>
          <w:numId w:val="2"/>
        </w:numPr>
        <w:tabs>
          <w:tab w:pos="834" w:val="left" w:leader="none"/>
          <w:tab w:pos="836" w:val="left" w:leader="none"/>
        </w:tabs>
        <w:spacing w:line="256" w:lineRule="auto" w:before="0" w:after="0"/>
        <w:ind w:left="836" w:right="120" w:hanging="360"/>
        <w:jc w:val="left"/>
        <w:rPr>
          <w:color w:val="202020"/>
          <w:sz w:val="22"/>
        </w:rPr>
      </w:pPr>
      <w:r>
        <w:rPr>
          <w:color w:val="202020"/>
          <w:sz w:val="22"/>
        </w:rPr>
        <w:t>Anghel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F, </w:t>
      </w:r>
      <w:r>
        <w:rPr>
          <w:b/>
          <w:color w:val="202020"/>
          <w:sz w:val="22"/>
        </w:rPr>
        <w:t>Nitusca D</w:t>
      </w:r>
      <w:r>
        <w:rPr>
          <w:color w:val="202020"/>
          <w:sz w:val="22"/>
        </w:rPr>
        <w:t>,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Cristodor P.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Body</w:t>
      </w:r>
      <w:r>
        <w:rPr>
          <w:color w:val="202020"/>
          <w:spacing w:val="-2"/>
          <w:sz w:val="22"/>
        </w:rPr>
        <w:t> </w:t>
      </w:r>
      <w:r>
        <w:rPr>
          <w:color w:val="202020"/>
          <w:sz w:val="22"/>
        </w:rPr>
        <w:t>Mass Index</w:t>
      </w:r>
      <w:r>
        <w:rPr>
          <w:color w:val="202020"/>
          <w:spacing w:val="-6"/>
          <w:sz w:val="22"/>
        </w:rPr>
        <w:t> </w:t>
      </w:r>
      <w:r>
        <w:rPr>
          <w:color w:val="202020"/>
          <w:sz w:val="22"/>
        </w:rPr>
        <w:t>Influence for the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Personalization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of the Monoclonal Antibodies Therapy for Psoriasis. Life (Basel). 2021 Nov 29;11(12):1316. doi: 10.3390/life11121316. PMID: 34947847; PMCID: PMC8703749. </w:t>
      </w:r>
      <w:r>
        <w:rPr>
          <w:b/>
          <w:color w:val="202020"/>
          <w:sz w:val="22"/>
        </w:rPr>
        <w:t>IF</w:t>
      </w:r>
    </w:p>
    <w:p>
      <w:pPr>
        <w:pStyle w:val="Heading2"/>
      </w:pPr>
      <w:r>
        <w:rPr>
          <w:color w:val="202020"/>
        </w:rPr>
        <w:t>=</w:t>
      </w:r>
      <w:r>
        <w:rPr>
          <w:color w:val="202020"/>
          <w:spacing w:val="4"/>
        </w:rPr>
        <w:t> </w:t>
      </w:r>
      <w:r>
        <w:rPr>
          <w:color w:val="202020"/>
          <w:spacing w:val="-4"/>
        </w:rPr>
        <w:t>3.251</w:t>
      </w:r>
    </w:p>
    <w:p>
      <w:pPr>
        <w:pStyle w:val="ListParagraph"/>
        <w:numPr>
          <w:ilvl w:val="0"/>
          <w:numId w:val="2"/>
        </w:numPr>
        <w:tabs>
          <w:tab w:pos="836" w:val="left" w:leader="none"/>
        </w:tabs>
        <w:spacing w:line="259" w:lineRule="auto" w:before="24" w:after="0"/>
        <w:ind w:left="836" w:right="180" w:hanging="360"/>
        <w:jc w:val="left"/>
        <w:rPr>
          <w:rFonts w:ascii="Arial MT"/>
          <w:sz w:val="24"/>
        </w:rPr>
      </w:pPr>
      <w:r>
        <w:rPr>
          <w:color w:val="202020"/>
          <w:sz w:val="22"/>
        </w:rPr>
        <w:t>Paunescu IA,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Bardan R,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Marcu A,</w:t>
      </w:r>
      <w:r>
        <w:rPr>
          <w:color w:val="202020"/>
          <w:spacing w:val="-5"/>
          <w:sz w:val="22"/>
        </w:rPr>
        <w:t> </w:t>
      </w:r>
      <w:r>
        <w:rPr>
          <w:b/>
          <w:color w:val="202020"/>
          <w:sz w:val="22"/>
        </w:rPr>
        <w:t>Nitusca</w:t>
      </w:r>
      <w:r>
        <w:rPr>
          <w:b/>
          <w:color w:val="202020"/>
          <w:spacing w:val="-4"/>
          <w:sz w:val="22"/>
        </w:rPr>
        <w:t> </w:t>
      </w:r>
      <w:r>
        <w:rPr>
          <w:b/>
          <w:color w:val="202020"/>
          <w:sz w:val="22"/>
        </w:rPr>
        <w:t>D</w:t>
      </w:r>
      <w:r>
        <w:rPr>
          <w:color w:val="202020"/>
          <w:sz w:val="22"/>
        </w:rPr>
        <w:t>, Dema</w:t>
      </w:r>
      <w:r>
        <w:rPr>
          <w:color w:val="202020"/>
          <w:spacing w:val="-7"/>
          <w:sz w:val="22"/>
        </w:rPr>
        <w:t> </w:t>
      </w:r>
      <w:r>
        <w:rPr>
          <w:color w:val="202020"/>
          <w:sz w:val="22"/>
        </w:rPr>
        <w:t>A, Negru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S, Balacescu O,</w:t>
      </w:r>
      <w:r>
        <w:rPr>
          <w:color w:val="202020"/>
          <w:spacing w:val="-5"/>
          <w:sz w:val="22"/>
        </w:rPr>
        <w:t> </w:t>
      </w:r>
      <w:r>
        <w:rPr>
          <w:color w:val="202020"/>
          <w:sz w:val="22"/>
        </w:rPr>
        <w:t>Balacescu L, Cumpanas A, Sirbu IO, Petrut B, Seclaman E, Marian C. Biomarker Potential of Plasma MicroRNA-150-5p in Prostate Cancer. Medicina (Kaunas). 2019 Sep 3;55(9):564. doi: 10.3390/medicina55090564. PMID: 31484346; PMCID: PMC6780076. </w:t>
      </w:r>
      <w:r>
        <w:rPr>
          <w:b/>
          <w:color w:val="202020"/>
          <w:sz w:val="22"/>
        </w:rPr>
        <w:t>IF = 2.43</w:t>
      </w:r>
    </w:p>
    <w:p>
      <w:pPr>
        <w:pStyle w:val="Heading1"/>
        <w:spacing w:line="242" w:lineRule="auto" w:before="160"/>
        <w:ind w:left="115"/>
        <w:rPr>
          <w:rFonts w:ascii="Arial MT" w:hAnsi="Arial MT"/>
          <w:b w:val="0"/>
        </w:rPr>
      </w:pPr>
      <w:r>
        <w:rPr/>
        <w:t>Lucrări</w:t>
      </w:r>
      <w:r>
        <w:rPr>
          <w:spacing w:val="-2"/>
        </w:rPr>
        <w:t> </w:t>
      </w:r>
      <w:r>
        <w:rPr/>
        <w:t>publicate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extenso</w:t>
      </w:r>
      <w:r>
        <w:rPr>
          <w:spacing w:val="-1"/>
        </w:rPr>
        <w:t> </w:t>
      </w:r>
      <w:r>
        <w:rPr/>
        <w:t>ca</w:t>
      </w:r>
      <w:r>
        <w:rPr>
          <w:spacing w:val="-2"/>
        </w:rPr>
        <w:t> </w:t>
      </w:r>
      <w:r>
        <w:rPr/>
        <w:t>și</w:t>
      </w:r>
      <w:r>
        <w:rPr>
          <w:spacing w:val="-7"/>
        </w:rPr>
        <w:t> </w:t>
      </w:r>
      <w:r>
        <w:rPr/>
        <w:t>prim</w:t>
      </w:r>
      <w:r>
        <w:rPr>
          <w:spacing w:val="-5"/>
        </w:rPr>
        <w:t> </w:t>
      </w:r>
      <w:r>
        <w:rPr/>
        <w:t>autor</w:t>
      </w:r>
      <w:r>
        <w:rPr>
          <w:spacing w:val="-5"/>
        </w:rPr>
        <w:t> </w:t>
      </w:r>
      <w:r>
        <w:rPr/>
        <w:t>în</w:t>
      </w:r>
      <w:r>
        <w:rPr>
          <w:spacing w:val="-1"/>
        </w:rPr>
        <w:t> </w:t>
      </w:r>
      <w:r>
        <w:rPr/>
        <w:t>reviste</w:t>
      </w:r>
      <w:r>
        <w:rPr>
          <w:spacing w:val="-2"/>
        </w:rPr>
        <w:t> </w:t>
      </w:r>
      <w:r>
        <w:rPr/>
        <w:t>BDI</w:t>
      </w:r>
      <w:r>
        <w:rPr>
          <w:spacing w:val="-2"/>
        </w:rPr>
        <w:t> </w:t>
      </w:r>
      <w:r>
        <w:rPr/>
        <w:t>recunoscute</w:t>
      </w:r>
      <w:r>
        <w:rPr>
          <w:spacing w:val="-2"/>
        </w:rPr>
        <w:t> </w:t>
      </w:r>
      <w:r>
        <w:rPr/>
        <w:t>la</w:t>
      </w:r>
      <w:r>
        <w:rPr>
          <w:spacing w:val="-7"/>
        </w:rPr>
        <w:t> </w:t>
      </w:r>
      <w:r>
        <w:rPr/>
        <w:t>nivel </w:t>
      </w:r>
      <w:r>
        <w:rPr>
          <w:spacing w:val="-2"/>
        </w:rPr>
        <w:t>internațional</w:t>
      </w:r>
      <w:r>
        <w:rPr>
          <w:rFonts w:ascii="Arial MT" w:hAnsi="Arial MT"/>
          <w:b w:val="0"/>
          <w:spacing w:val="-2"/>
        </w:rPr>
        <w:t>:</w:t>
      </w:r>
    </w:p>
    <w:p>
      <w:pPr>
        <w:pStyle w:val="ListParagraph"/>
        <w:numPr>
          <w:ilvl w:val="0"/>
          <w:numId w:val="3"/>
        </w:numPr>
        <w:tabs>
          <w:tab w:pos="835" w:val="left" w:leader="none"/>
        </w:tabs>
        <w:spacing w:line="240" w:lineRule="auto" w:before="273" w:after="0"/>
        <w:ind w:left="835" w:right="166" w:hanging="360"/>
        <w:jc w:val="both"/>
        <w:rPr>
          <w:rFonts w:ascii="Arial MT" w:hAnsi="Arial MT"/>
          <w:sz w:val="24"/>
        </w:rPr>
      </w:pPr>
      <w:r>
        <w:rPr>
          <w:rFonts w:ascii="Arial" w:hAnsi="Arial"/>
          <w:b/>
          <w:sz w:val="24"/>
        </w:rPr>
        <w:t>Nitușcă D</w:t>
      </w:r>
      <w:r>
        <w:rPr>
          <w:rFonts w:ascii="Arial MT" w:hAnsi="Arial MT"/>
          <w:sz w:val="24"/>
        </w:rPr>
        <w:t>, Păunescu IA, Marcu A, Antonescu M, Cumpănaș A, Bardan R, Șeclăman</w:t>
      </w:r>
      <w:r>
        <w:rPr>
          <w:rFonts w:ascii="Arial MT" w:hAnsi="Arial MT"/>
          <w:spacing w:val="-11"/>
          <w:sz w:val="24"/>
        </w:rPr>
        <w:t> </w:t>
      </w:r>
      <w:r>
        <w:rPr>
          <w:rFonts w:ascii="Arial MT" w:hAnsi="Arial MT"/>
          <w:sz w:val="24"/>
        </w:rPr>
        <w:t>E,</w:t>
      </w:r>
      <w:r>
        <w:rPr>
          <w:rFonts w:ascii="Arial MT" w:hAnsi="Arial MT"/>
          <w:spacing w:val="-11"/>
          <w:sz w:val="24"/>
        </w:rPr>
        <w:t> </w:t>
      </w:r>
      <w:r>
        <w:rPr>
          <w:rFonts w:ascii="Arial MT" w:hAnsi="Arial MT"/>
          <w:sz w:val="24"/>
        </w:rPr>
        <w:t>Marian</w:t>
      </w:r>
      <w:r>
        <w:rPr>
          <w:rFonts w:ascii="Arial MT" w:hAnsi="Arial MT"/>
          <w:spacing w:val="-11"/>
          <w:sz w:val="24"/>
        </w:rPr>
        <w:t> </w:t>
      </w:r>
      <w:r>
        <w:rPr>
          <w:rFonts w:ascii="Arial MT" w:hAnsi="Arial MT"/>
          <w:sz w:val="24"/>
        </w:rPr>
        <w:t>C.</w:t>
      </w:r>
      <w:r>
        <w:rPr>
          <w:rFonts w:ascii="Arial MT" w:hAnsi="Arial MT"/>
          <w:spacing w:val="-11"/>
          <w:sz w:val="24"/>
        </w:rPr>
        <w:t> </w:t>
      </w:r>
      <w:r>
        <w:rPr>
          <w:rFonts w:ascii="Arial MT" w:hAnsi="Arial MT"/>
          <w:sz w:val="24"/>
        </w:rPr>
        <w:t>Plasma</w:t>
      </w:r>
      <w:r>
        <w:rPr>
          <w:rFonts w:ascii="Arial MT" w:hAnsi="Arial MT"/>
          <w:spacing w:val="-11"/>
          <w:sz w:val="24"/>
        </w:rPr>
        <w:t> </w:t>
      </w:r>
      <w:r>
        <w:rPr>
          <w:rFonts w:ascii="Arial MT" w:hAnsi="Arial MT"/>
          <w:sz w:val="24"/>
        </w:rPr>
        <w:t>exosomal</w:t>
      </w:r>
      <w:r>
        <w:rPr>
          <w:rFonts w:ascii="Arial MT" w:hAnsi="Arial MT"/>
          <w:spacing w:val="-12"/>
          <w:sz w:val="24"/>
        </w:rPr>
        <w:t> </w:t>
      </w:r>
      <w:r>
        <w:rPr>
          <w:rFonts w:ascii="Arial MT" w:hAnsi="Arial MT"/>
          <w:sz w:val="24"/>
        </w:rPr>
        <w:t>miRNA</w:t>
      </w:r>
      <w:r>
        <w:rPr>
          <w:rFonts w:ascii="Arial MT" w:hAnsi="Arial MT"/>
          <w:spacing w:val="-13"/>
          <w:sz w:val="24"/>
        </w:rPr>
        <w:t> </w:t>
      </w:r>
      <w:r>
        <w:rPr>
          <w:rFonts w:ascii="Arial MT" w:hAnsi="Arial MT"/>
          <w:sz w:val="24"/>
        </w:rPr>
        <w:t>screening</w:t>
      </w:r>
      <w:r>
        <w:rPr>
          <w:rFonts w:ascii="Arial MT" w:hAnsi="Arial MT"/>
          <w:spacing w:val="-11"/>
          <w:sz w:val="24"/>
        </w:rPr>
        <w:t> </w:t>
      </w:r>
      <w:r>
        <w:rPr>
          <w:rFonts w:ascii="Arial MT" w:hAnsi="Arial MT"/>
          <w:sz w:val="24"/>
        </w:rPr>
        <w:t>for</w:t>
      </w:r>
      <w:r>
        <w:rPr>
          <w:rFonts w:ascii="Arial MT" w:hAnsi="Arial MT"/>
          <w:spacing w:val="-11"/>
          <w:sz w:val="24"/>
        </w:rPr>
        <w:t> </w:t>
      </w:r>
      <w:r>
        <w:rPr>
          <w:rFonts w:ascii="Arial MT" w:hAnsi="Arial MT"/>
          <w:sz w:val="24"/>
        </w:rPr>
        <w:t>the</w:t>
      </w:r>
      <w:r>
        <w:rPr>
          <w:rFonts w:ascii="Arial MT" w:hAnsi="Arial MT"/>
          <w:spacing w:val="-11"/>
          <w:sz w:val="24"/>
        </w:rPr>
        <w:t> </w:t>
      </w:r>
      <w:r>
        <w:rPr>
          <w:rFonts w:ascii="Arial MT" w:hAnsi="Arial MT"/>
          <w:sz w:val="24"/>
        </w:rPr>
        <w:t>discovery of novel biomarkers in prostate cancer. A pilot study. </w:t>
      </w:r>
      <w:r>
        <w:rPr>
          <w:rFonts w:ascii="Arial" w:hAnsi="Arial"/>
          <w:i/>
          <w:sz w:val="24"/>
        </w:rPr>
        <w:t>ResClinMed</w:t>
      </w:r>
      <w:r>
        <w:rPr>
          <w:rFonts w:ascii="Arial MT" w:hAnsi="Arial MT"/>
          <w:sz w:val="24"/>
        </w:rPr>
        <w:t>. 2019. </w:t>
      </w:r>
      <w:hyperlink r:id="rId5">
        <w:r>
          <w:rPr>
            <w:rFonts w:ascii="Arial MT" w:hAnsi="Arial MT"/>
            <w:spacing w:val="-2"/>
            <w:sz w:val="24"/>
            <w:u w:val="single"/>
          </w:rPr>
          <w:t>https://www.resclinmed.eu/public/data_files/articles/70/article_70.pdf</w:t>
        </w:r>
      </w:hyperlink>
    </w:p>
    <w:p>
      <w:pPr>
        <w:pStyle w:val="ListParagraph"/>
        <w:numPr>
          <w:ilvl w:val="0"/>
          <w:numId w:val="3"/>
        </w:numPr>
        <w:tabs>
          <w:tab w:pos="835" w:val="left" w:leader="none"/>
        </w:tabs>
        <w:spacing w:line="240" w:lineRule="auto" w:before="0" w:after="0"/>
        <w:ind w:left="835" w:right="167" w:hanging="360"/>
        <w:jc w:val="both"/>
        <w:rPr>
          <w:rFonts w:ascii="Arial MT"/>
          <w:sz w:val="24"/>
        </w:rPr>
      </w:pPr>
      <w:r>
        <w:rPr>
          <w:rFonts w:ascii="Arial"/>
          <w:b/>
          <w:sz w:val="24"/>
        </w:rPr>
        <w:t>Nitusca</w:t>
      </w:r>
      <w:r>
        <w:rPr>
          <w:rFonts w:ascii="Arial"/>
          <w:b/>
          <w:spacing w:val="-5"/>
          <w:sz w:val="24"/>
        </w:rPr>
        <w:t> </w:t>
      </w:r>
      <w:r>
        <w:rPr>
          <w:rFonts w:ascii="Arial"/>
          <w:b/>
          <w:sz w:val="24"/>
        </w:rPr>
        <w:t>D,</w:t>
      </w:r>
      <w:r>
        <w:rPr>
          <w:rFonts w:ascii="Arial"/>
          <w:b/>
          <w:spacing w:val="-5"/>
          <w:sz w:val="24"/>
        </w:rPr>
        <w:t> </w:t>
      </w:r>
      <w:r>
        <w:rPr>
          <w:rFonts w:ascii="Arial MT"/>
          <w:sz w:val="24"/>
        </w:rPr>
        <w:t>Marcu</w:t>
      </w:r>
      <w:r>
        <w:rPr>
          <w:rFonts w:ascii="Arial MT"/>
          <w:spacing w:val="-5"/>
          <w:sz w:val="24"/>
        </w:rPr>
        <w:t> </w:t>
      </w:r>
      <w:r>
        <w:rPr>
          <w:rFonts w:ascii="Arial MT"/>
          <w:sz w:val="24"/>
        </w:rPr>
        <w:t>A,</w:t>
      </w:r>
      <w:r>
        <w:rPr>
          <w:rFonts w:ascii="Arial MT"/>
          <w:spacing w:val="-5"/>
          <w:sz w:val="24"/>
        </w:rPr>
        <w:t> </w:t>
      </w:r>
      <w:r>
        <w:rPr>
          <w:rFonts w:ascii="Arial MT"/>
          <w:sz w:val="24"/>
        </w:rPr>
        <w:t>Seclaman</w:t>
      </w:r>
      <w:r>
        <w:rPr>
          <w:rFonts w:ascii="Arial MT"/>
          <w:spacing w:val="-5"/>
          <w:sz w:val="24"/>
        </w:rPr>
        <w:t> </w:t>
      </w:r>
      <w:r>
        <w:rPr>
          <w:rFonts w:ascii="Arial MT"/>
          <w:sz w:val="24"/>
        </w:rPr>
        <w:t>E,</w:t>
      </w:r>
      <w:r>
        <w:rPr>
          <w:rFonts w:ascii="Arial MT"/>
          <w:spacing w:val="-5"/>
          <w:sz w:val="24"/>
        </w:rPr>
        <w:t> </w:t>
      </w:r>
      <w:r>
        <w:rPr>
          <w:rFonts w:ascii="Arial MT"/>
          <w:sz w:val="24"/>
        </w:rPr>
        <w:t>Bardan</w:t>
      </w:r>
      <w:r>
        <w:rPr>
          <w:rFonts w:ascii="Arial MT"/>
          <w:spacing w:val="-5"/>
          <w:sz w:val="24"/>
        </w:rPr>
        <w:t> </w:t>
      </w:r>
      <w:r>
        <w:rPr>
          <w:rFonts w:ascii="Arial MT"/>
          <w:sz w:val="24"/>
        </w:rPr>
        <w:t>R,</w:t>
      </w:r>
      <w:r>
        <w:rPr>
          <w:rFonts w:ascii="Arial MT"/>
          <w:spacing w:val="-10"/>
          <w:sz w:val="24"/>
        </w:rPr>
        <w:t> </w:t>
      </w:r>
      <w:r>
        <w:rPr>
          <w:rFonts w:ascii="Arial MT"/>
          <w:sz w:val="24"/>
        </w:rPr>
        <w:t>Sirbu</w:t>
      </w:r>
      <w:r>
        <w:rPr>
          <w:rFonts w:ascii="Arial MT"/>
          <w:spacing w:val="-5"/>
          <w:sz w:val="24"/>
        </w:rPr>
        <w:t> </w:t>
      </w:r>
      <w:r>
        <w:rPr>
          <w:rFonts w:ascii="Arial MT"/>
          <w:sz w:val="24"/>
        </w:rPr>
        <w:t>IO,</w:t>
      </w:r>
      <w:r>
        <w:rPr>
          <w:rFonts w:ascii="Arial MT"/>
          <w:spacing w:val="-5"/>
          <w:sz w:val="24"/>
        </w:rPr>
        <w:t> </w:t>
      </w:r>
      <w:r>
        <w:rPr>
          <w:rFonts w:ascii="Arial MT"/>
          <w:sz w:val="24"/>
        </w:rPr>
        <w:t>Balacescu</w:t>
      </w:r>
      <w:r>
        <w:rPr>
          <w:rFonts w:ascii="Arial MT"/>
          <w:spacing w:val="-5"/>
          <w:sz w:val="24"/>
        </w:rPr>
        <w:t> </w:t>
      </w:r>
      <w:r>
        <w:rPr>
          <w:rFonts w:ascii="Arial MT"/>
          <w:sz w:val="24"/>
        </w:rPr>
        <w:t>O,</w:t>
      </w:r>
      <w:r>
        <w:rPr>
          <w:rFonts w:ascii="Arial MT"/>
          <w:spacing w:val="-5"/>
          <w:sz w:val="24"/>
        </w:rPr>
        <w:t> </w:t>
      </w:r>
      <w:r>
        <w:rPr>
          <w:rFonts w:ascii="Arial MT"/>
          <w:sz w:val="24"/>
        </w:rPr>
        <w:t>Bucur</w:t>
      </w:r>
      <w:r>
        <w:rPr>
          <w:rFonts w:ascii="Arial MT"/>
          <w:spacing w:val="-4"/>
          <w:sz w:val="24"/>
        </w:rPr>
        <w:t> </w:t>
      </w:r>
      <w:r>
        <w:rPr>
          <w:rFonts w:ascii="Arial MT"/>
          <w:sz w:val="24"/>
        </w:rPr>
        <w:t>AI, Ursoniu S, Marian C.</w:t>
      </w:r>
      <w:r>
        <w:rPr>
          <w:rFonts w:ascii="Arial MT"/>
          <w:spacing w:val="-1"/>
          <w:sz w:val="24"/>
        </w:rPr>
        <w:t> </w:t>
      </w:r>
      <w:r>
        <w:rPr>
          <w:rFonts w:ascii="Arial MT"/>
          <w:sz w:val="24"/>
        </w:rPr>
        <w:t>Circulating microRNA-141 as a Biomarker for Prostate Cancer: A Systematic Review and Meta-Analysis. </w:t>
      </w:r>
      <w:r>
        <w:rPr>
          <w:rFonts w:ascii="Arial"/>
          <w:i/>
          <w:sz w:val="24"/>
        </w:rPr>
        <w:t>TMJ</w:t>
      </w:r>
      <w:r>
        <w:rPr>
          <w:rFonts w:ascii="Arial MT"/>
          <w:sz w:val="24"/>
        </w:rPr>
        <w:t>. 2022.</w:t>
      </w:r>
    </w:p>
    <w:sectPr>
      <w:pgSz w:w="11910" w:h="16840"/>
      <w:pgMar w:top="1320" w:bottom="28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Segoe UI">
    <w:altName w:val="Segoe UI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836" w:hanging="3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686" w:hanging="36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532" w:hanging="36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379" w:hanging="36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225" w:hanging="36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072" w:hanging="36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5918" w:hanging="36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7611" w:hanging="360"/>
      </w:pPr>
      <w:rPr>
        <w:rFonts w:hint="default"/>
        <w:lang w:val="ro-RO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36" w:hanging="361"/>
        <w:jc w:val="left"/>
      </w:pPr>
      <w:rPr>
        <w:rFonts w:hint="default"/>
        <w:spacing w:val="0"/>
        <w:w w:val="100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686" w:hanging="361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532" w:hanging="361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379" w:hanging="361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225" w:hanging="361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072" w:hanging="361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5918" w:hanging="361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6764" w:hanging="361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7611" w:hanging="361"/>
      </w:pPr>
      <w:rPr>
        <w:rFonts w:hint="default"/>
        <w:lang w:val="ro-RO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36" w:hanging="361"/>
        <w:jc w:val="left"/>
      </w:pPr>
      <w:rPr>
        <w:rFonts w:hint="default" w:ascii="Segoe UI" w:hAnsi="Segoe UI" w:eastAsia="Segoe UI" w:cs="Segoe UI"/>
        <w:b/>
        <w:bCs/>
        <w:i w:val="0"/>
        <w:iCs w:val="0"/>
        <w:color w:val="202020"/>
        <w:spacing w:val="-3"/>
        <w:w w:val="100"/>
        <w:sz w:val="22"/>
        <w:szCs w:val="22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686" w:hanging="361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532" w:hanging="361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379" w:hanging="361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225" w:hanging="361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072" w:hanging="361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5918" w:hanging="361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6764" w:hanging="361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7611" w:hanging="361"/>
      </w:pPr>
      <w:rPr>
        <w:rFonts w:hint="default"/>
        <w:lang w:val="ro-RO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Segoe UI" w:hAnsi="Segoe UI" w:eastAsia="Segoe UI" w:cs="Segoe UI"/>
      <w:lang w:val="ro-RO" w:eastAsia="en-US" w:bidi="ar-SA"/>
    </w:rPr>
  </w:style>
  <w:style w:styleId="BodyText" w:type="paragraph">
    <w:name w:val="Body Text"/>
    <w:basedOn w:val="Normal"/>
    <w:uiPriority w:val="1"/>
    <w:qFormat/>
    <w:pPr>
      <w:ind w:left="836" w:hanging="360"/>
    </w:pPr>
    <w:rPr>
      <w:rFonts w:ascii="Segoe UI" w:hAnsi="Segoe UI" w:eastAsia="Segoe UI" w:cs="Segoe UI"/>
      <w:sz w:val="22"/>
      <w:szCs w:val="22"/>
      <w:lang w:val="ro-RO" w:eastAsia="en-US" w:bidi="ar-SA"/>
    </w:rPr>
  </w:style>
  <w:style w:styleId="Heading1" w:type="paragraph">
    <w:name w:val="Heading 1"/>
    <w:basedOn w:val="Normal"/>
    <w:uiPriority w:val="1"/>
    <w:qFormat/>
    <w:pPr>
      <w:ind w:left="116"/>
      <w:outlineLvl w:val="1"/>
    </w:pPr>
    <w:rPr>
      <w:rFonts w:ascii="Arial" w:hAnsi="Arial" w:eastAsia="Arial" w:cs="Arial"/>
      <w:b/>
      <w:bCs/>
      <w:sz w:val="24"/>
      <w:szCs w:val="24"/>
      <w:lang w:val="ro-RO" w:eastAsia="en-US" w:bidi="ar-SA"/>
    </w:rPr>
  </w:style>
  <w:style w:styleId="Heading2" w:type="paragraph">
    <w:name w:val="Heading 2"/>
    <w:basedOn w:val="Normal"/>
    <w:uiPriority w:val="1"/>
    <w:qFormat/>
    <w:pPr>
      <w:ind w:left="836"/>
      <w:outlineLvl w:val="2"/>
    </w:pPr>
    <w:rPr>
      <w:rFonts w:ascii="Segoe UI" w:hAnsi="Segoe UI" w:eastAsia="Segoe UI" w:cs="Segoe UI"/>
      <w:b/>
      <w:bCs/>
      <w:sz w:val="22"/>
      <w:szCs w:val="22"/>
      <w:lang w:val="ro-RO" w:eastAsia="en-US" w:bidi="ar-SA"/>
    </w:rPr>
  </w:style>
  <w:style w:styleId="Title" w:type="paragraph">
    <w:name w:val="Title"/>
    <w:basedOn w:val="Normal"/>
    <w:uiPriority w:val="1"/>
    <w:qFormat/>
    <w:pPr>
      <w:spacing w:before="58"/>
      <w:ind w:right="3"/>
      <w:jc w:val="center"/>
    </w:pPr>
    <w:rPr>
      <w:rFonts w:ascii="Arial" w:hAnsi="Arial" w:eastAsia="Arial" w:cs="Arial"/>
      <w:b/>
      <w:bCs/>
      <w:sz w:val="48"/>
      <w:szCs w:val="48"/>
      <w:lang w:val="ro-RO" w:eastAsia="en-US" w:bidi="ar-SA"/>
    </w:rPr>
  </w:style>
  <w:style w:styleId="ListParagraph" w:type="paragraph">
    <w:name w:val="List Paragraph"/>
    <w:basedOn w:val="Normal"/>
    <w:uiPriority w:val="1"/>
    <w:qFormat/>
    <w:pPr>
      <w:ind w:left="836" w:right="113" w:hanging="360"/>
    </w:pPr>
    <w:rPr>
      <w:rFonts w:ascii="Segoe UI" w:hAnsi="Segoe UI" w:eastAsia="Segoe UI" w:cs="Segoe UI"/>
      <w:lang w:val="ro-RO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www.resclinmed.eu/public/data_files/articles/70/article_70.pdf" TargetMode="Externa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dc:description/>
  <dcterms:created xsi:type="dcterms:W3CDTF">2023-12-14T19:08:48Z</dcterms:created>
  <dcterms:modified xsi:type="dcterms:W3CDTF">2023-12-14T19:08:48Z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2023-12-12T00:00:00Z</vt:filetime>
  </property>
  <property fmtid="{D5CDD505-2E9C-101B-9397-08002B2CF9AE}" pid="3" name="Creator">
    <vt:lpwstr>Acrobat PDFMaker 22 for Word</vt:lpwstr>
  </property>
  <property fmtid="{D5CDD505-2E9C-101B-9397-08002B2CF9AE}" pid="4" name="GrammarlyDocumentId">
    <vt:lpwstr>f3ecba4fb39b6aaf9d8630bb1103fe4163361cb9f906dbd97f020195db653dec</vt:lpwstr>
  </property>
  <property fmtid="{D5CDD505-2E9C-101B-9397-08002B2CF9AE}" pid="5" name="LastSaved">
    <vt:filetime>2023-12-14T00:00:00Z</vt:filetime>
  </property>
  <property fmtid="{D5CDD505-2E9C-101B-9397-08002B2CF9AE}" pid="6" name="Producer">
    <vt:lpwstr>Adobe PDF Library 22.3.58</vt:lpwstr>
  </property>
  <property fmtid="{D5CDD505-2E9C-101B-9397-08002B2CF9AE}" pid="7" name="SourceModified">
    <vt:lpwstr>D:20231212172003</vt:lpwstr>
  </property>
</Properties>
</file>