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33E" w:rsidRPr="00950431" w:rsidRDefault="00950431" w:rsidP="00950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431">
        <w:rPr>
          <w:rFonts w:ascii="Times New Roman" w:hAnsi="Times New Roman" w:cs="Times New Roman"/>
          <w:b/>
          <w:sz w:val="24"/>
          <w:szCs w:val="24"/>
          <w:lang w:val="en-US"/>
        </w:rPr>
        <w:t>LISTA COMPLET</w:t>
      </w:r>
      <w:r w:rsidRPr="00950431">
        <w:rPr>
          <w:rFonts w:ascii="Times New Roman" w:hAnsi="Times New Roman" w:cs="Times New Roman"/>
          <w:b/>
          <w:sz w:val="24"/>
          <w:szCs w:val="24"/>
        </w:rPr>
        <w:t>Ă A PUBLICAȚIILOR</w:t>
      </w:r>
    </w:p>
    <w:p w:rsidR="00950431" w:rsidRDefault="00950431" w:rsidP="009504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0431" w:rsidRPr="00950431" w:rsidRDefault="00950431" w:rsidP="0095043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0431">
        <w:rPr>
          <w:rFonts w:ascii="Times New Roman" w:hAnsi="Times New Roman" w:cs="Times New Roman"/>
          <w:b/>
          <w:sz w:val="24"/>
          <w:szCs w:val="24"/>
        </w:rPr>
        <w:t>CANDIDAT: NEAMȚU RADU IONUȚ</w:t>
      </w:r>
    </w:p>
    <w:p w:rsidR="00950431" w:rsidRPr="00950431" w:rsidRDefault="00950431" w:rsidP="0095043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50431" w:rsidRPr="00950431" w:rsidRDefault="00950431" w:rsidP="0095043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431">
        <w:rPr>
          <w:rFonts w:ascii="Times New Roman" w:hAnsi="Times New Roman" w:cs="Times New Roman"/>
          <w:b/>
          <w:sz w:val="24"/>
          <w:szCs w:val="24"/>
        </w:rPr>
        <w:t>Teză de doctorat:</w:t>
      </w:r>
    </w:p>
    <w:p w:rsidR="00950431" w:rsidRDefault="00950431" w:rsidP="0095043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431">
        <w:rPr>
          <w:rFonts w:ascii="Times New Roman" w:hAnsi="Times New Roman" w:cs="Times New Roman"/>
          <w:b/>
          <w:sz w:val="24"/>
          <w:szCs w:val="24"/>
        </w:rPr>
        <w:t>Titlu:</w:t>
      </w:r>
      <w:r>
        <w:rPr>
          <w:rFonts w:ascii="Times New Roman" w:hAnsi="Times New Roman" w:cs="Times New Roman"/>
          <w:sz w:val="24"/>
          <w:szCs w:val="24"/>
        </w:rPr>
        <w:t xml:space="preserve"> IMPORTANȚA LICHIDULUI AMNIOTIC ÎN CREȘTEREA ȘI DEZVOLTAREA FĂTULUI</w:t>
      </w:r>
    </w:p>
    <w:p w:rsidR="00950431" w:rsidRDefault="00950431" w:rsidP="0095043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431">
        <w:rPr>
          <w:rFonts w:ascii="Times New Roman" w:hAnsi="Times New Roman" w:cs="Times New Roman"/>
          <w:b/>
          <w:sz w:val="24"/>
          <w:szCs w:val="24"/>
        </w:rPr>
        <w:t>Anul susținerii: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</w:p>
    <w:p w:rsidR="00950431" w:rsidRDefault="00950431" w:rsidP="00950431">
      <w:pPr>
        <w:pStyle w:val="ListParagraph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950431" w:rsidRPr="00950431" w:rsidRDefault="00950431" w:rsidP="0095043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431">
        <w:rPr>
          <w:rFonts w:ascii="Times New Roman" w:hAnsi="Times New Roman" w:cs="Times New Roman"/>
          <w:b/>
          <w:sz w:val="24"/>
          <w:szCs w:val="24"/>
        </w:rPr>
        <w:t>Articole publicate în extenso:</w:t>
      </w:r>
    </w:p>
    <w:p w:rsidR="00950431" w:rsidRDefault="00950431" w:rsidP="0095043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DE6">
        <w:rPr>
          <w:rFonts w:ascii="Times New Roman" w:hAnsi="Times New Roman" w:cs="Times New Roman"/>
          <w:b/>
          <w:sz w:val="24"/>
          <w:szCs w:val="24"/>
        </w:rPr>
        <w:t>Articole în reviste cotate ISI cu factor de impact:</w:t>
      </w:r>
    </w:p>
    <w:p w:rsidR="00EC2DE6" w:rsidRPr="00EC2DE6" w:rsidRDefault="00EC2DE6" w:rsidP="00EC2DE6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078" w:rsidRPr="00EC2DE6" w:rsidRDefault="000B6078" w:rsidP="00EC2DE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DE6">
        <w:rPr>
          <w:rFonts w:ascii="Times New Roman" w:hAnsi="Times New Roman" w:cs="Times New Roman"/>
          <w:sz w:val="24"/>
          <w:szCs w:val="24"/>
        </w:rPr>
        <w:t xml:space="preserve">Iordache, O.; Anastasiu-Popov, D.M.; Anastasiu, D.M.;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Craina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, M.;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Dahma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, G.;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Sacarin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, G.; Silaghi, C.;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Citu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, C.;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Daniluc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, R.; Hinoveanu, D.; et al. A Retrospective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Thrombophilia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in Pregnant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Trimester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Pregnancy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Loss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. Int. J.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Environ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. Public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2022, 19, 16500. https://doi.org/10.3390/ijerph192416500, FI=4.614, link FI: </w:t>
      </w:r>
      <w:hyperlink r:id="rId7" w:history="1">
        <w:r w:rsidRPr="00EC2DE6">
          <w:rPr>
            <w:rStyle w:val="Hyperlink"/>
            <w:rFonts w:ascii="Times New Roman" w:hAnsi="Times New Roman" w:cs="Times New Roman"/>
            <w:sz w:val="24"/>
            <w:szCs w:val="24"/>
          </w:rPr>
          <w:t>https://jcr.clarivate.com/jcr-jp/journal-profile?journal=INT%20J%20ENV%20RES%20PUB%20HE&amp;year=2021</w:t>
        </w:r>
      </w:hyperlink>
    </w:p>
    <w:p w:rsidR="00EC2DE6" w:rsidRPr="00EC2DE6" w:rsidRDefault="00EC2DE6" w:rsidP="00EC2DE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078" w:rsidRPr="00EC2DE6" w:rsidRDefault="000B6078" w:rsidP="00EC2DE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DE6">
        <w:rPr>
          <w:rFonts w:ascii="Times New Roman" w:hAnsi="Times New Roman" w:cs="Times New Roman"/>
          <w:sz w:val="24"/>
          <w:szCs w:val="24"/>
        </w:rPr>
        <w:t xml:space="preserve">Neamtu R,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Dahma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G, Mocanu AG,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Bernad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E, Silaghi CI, Stelea L,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Citu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C, Dobrescu A,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Bratosin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Grigoras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ML, Motoc A, Dema S,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Craina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M, Chiriac VD,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Gluhovschi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Challenges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Diagnosis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Prevention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Iatrogenic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Endometriosis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Long-Term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Surgical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Complication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C-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Section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J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Environ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EC2DE6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EC2DE6">
        <w:rPr>
          <w:rFonts w:ascii="Times New Roman" w:hAnsi="Times New Roman" w:cs="Times New Roman"/>
          <w:sz w:val="24"/>
          <w:szCs w:val="24"/>
        </w:rPr>
        <w:t xml:space="preserve">. 2022 Feb 27;19(5):2791. doi: 10.3390/ijerph19052791. PMID: 35270482; PMCID: PMC8910041., FI=4.614, Link FI: </w:t>
      </w:r>
      <w:hyperlink r:id="rId8" w:history="1">
        <w:r w:rsidRPr="00EC2DE6">
          <w:rPr>
            <w:rStyle w:val="Hyperlink"/>
            <w:rFonts w:ascii="Times New Roman" w:hAnsi="Times New Roman" w:cs="Times New Roman"/>
            <w:sz w:val="24"/>
            <w:szCs w:val="24"/>
          </w:rPr>
          <w:t>https://jcr.clarivate.com/jcr-jp/journal-profile?journal=INT%20J%20ENV%20RES%20PUB%20HE&amp;year=2021</w:t>
        </w:r>
      </w:hyperlink>
    </w:p>
    <w:p w:rsidR="00EC2DE6" w:rsidRPr="00EC2DE6" w:rsidRDefault="00EC2DE6" w:rsidP="00EC2DE6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2DE6" w:rsidRPr="00EC2DE6" w:rsidRDefault="00EC2DE6" w:rsidP="00EC2DE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078" w:rsidRPr="00EC2DE6" w:rsidRDefault="000B6078" w:rsidP="00EC2DE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Neamtu RI,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M,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Dahma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G,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AV,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Erimescu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AG,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Citu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I,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Dobrescu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A,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Horhat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FG,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Vulcanescu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DD,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Gorun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F,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Bernad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ES,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Motoc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A,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Citu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IC. Heavy metal ion concentration in the amniotic fluid of preterm and term pregnancies from two cities with different industrial output.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Exp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Ther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Med. 2022 Feb</w:t>
      </w:r>
      <w:proofErr w:type="gram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;23</w:t>
      </w:r>
      <w:proofErr w:type="gram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(2):111. </w:t>
      </w:r>
      <w:proofErr w:type="spellStart"/>
      <w:proofErr w:type="gram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doi</w:t>
      </w:r>
      <w:proofErr w:type="spellEnd"/>
      <w:proofErr w:type="gram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: 10.3892/etm.2021.11034.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Epub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2021 Dec 3. PMID: 34970334; PMCID: PMC8713173. </w:t>
      </w:r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lastRenderedPageBreak/>
        <w:t xml:space="preserve">FI-2.7, Link FI: </w:t>
      </w:r>
      <w:hyperlink r:id="rId9" w:history="1">
        <w:r w:rsidRPr="00EC2DE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https://jcr.clarivate.com/jcr-jp/journal-profile?journal=EXP%20THER%20MED&amp;year=2022</w:t>
        </w:r>
      </w:hyperlink>
    </w:p>
    <w:p w:rsidR="00EC2DE6" w:rsidRPr="00EC2DE6" w:rsidRDefault="00EC2DE6" w:rsidP="00EC2DE6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0B6078" w:rsidRPr="00EC2DE6" w:rsidRDefault="000B6078" w:rsidP="00EC2DE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Citu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C,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R,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Sorop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VB,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Horhat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DI,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Gorun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F,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Tudorache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E,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Gorun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OM,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Boarta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A,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Tuta-Sas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I,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Citu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IM. Assessing SARS-CoV-2 Vertical Transmission and Neonatal Complications. J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Med. 2021 Nov 11</w:t>
      </w:r>
      <w:proofErr w:type="gram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;10</w:t>
      </w:r>
      <w:proofErr w:type="gram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(22):5253. </w:t>
      </w:r>
      <w:proofErr w:type="spellStart"/>
      <w:proofErr w:type="gram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doi</w:t>
      </w:r>
      <w:proofErr w:type="spellEnd"/>
      <w:proofErr w:type="gram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: 10.3390/jcm10225253. PMID: 34830532; PMCID: PMC8617726. FI=3.9, Link FI: https://jcr.clarivate.com/jcr-jp/journal-profile?journal=J%20CLIN%20MED&amp;year=2022</w:t>
      </w:r>
    </w:p>
    <w:p w:rsidR="000B6078" w:rsidRPr="00EC2DE6" w:rsidRDefault="000B6078" w:rsidP="00EC2DE6">
      <w:pPr>
        <w:pStyle w:val="ListParagraph"/>
        <w:spacing w:after="0" w:line="360" w:lineRule="auto"/>
        <w:ind w:left="18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tbl>
      <w:tblPr>
        <w:tblpPr w:leftFromText="180" w:rightFromText="180" w:vertAnchor="text" w:tblpY="1"/>
        <w:tblOverlap w:val="never"/>
        <w:tblW w:w="9260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8764"/>
        <w:gridCol w:w="496"/>
      </w:tblGrid>
      <w:tr w:rsidR="000B6078" w:rsidRPr="000B6078" w:rsidTr="00EC2DE6">
        <w:trPr>
          <w:gridAfter w:val="1"/>
          <w:wAfter w:w="496" w:type="dxa"/>
          <w:trHeight w:val="2525"/>
        </w:trPr>
        <w:tc>
          <w:tcPr>
            <w:tcW w:w="8764" w:type="dxa"/>
            <w:shd w:val="clear" w:color="auto" w:fill="auto"/>
            <w:vAlign w:val="center"/>
            <w:hideMark/>
          </w:tcPr>
          <w:p w:rsidR="000B6078" w:rsidRPr="00EC2DE6" w:rsidRDefault="000B6078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Marta, Carmen-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Ioana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Anca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Laura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Maghiari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Elena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Bernad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Lavinia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Stelea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Brenda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Bernad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Lioara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Boscu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Adrian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Mircea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Diaconu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Catalin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Dumitru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and et al. 2023. "NT-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proBNP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—Possible Prognostic Marker in Pregnant Patients with Associated Cardiovascular Risk Factors and SARS-CoV-2 Infection" Diagnostics 13, no. 19: 3032. https://doi.org/10.3390/diagnostics13193032. FI=3.6. Link FI: </w:t>
            </w:r>
            <w:hyperlink r:id="rId10" w:history="1">
              <w:r w:rsidR="00EC2DE6"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https://jcr.clarivate.com/jcr-jp/journal-profile?journal=DIAGNOSTICS&amp;year=2022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Iordache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O.;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Anastasiu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Kakarla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Ali,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Dumitru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Olaru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Erdelean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Gherman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et al. Influence of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Antiphospholipid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Antibody-Associated Thrombophilia on the Risk of Preterm Birth: A Systematic Review. J.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Clin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. Med. 2023, 12, 5316. https://doi.org/10.3390/jcm12165316. FI=3.9. 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Link FI:https://jcr.clarivate.com/jcr-jp/journal-profile?journal=J%20CLIN%20MED&amp;year=2022</w:t>
            </w:r>
          </w:p>
          <w:p w:rsidR="00EC2DE6" w:rsidRPr="00EC2DE6" w:rsidRDefault="00EC2DE6" w:rsidP="00EC2DE6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lastRenderedPageBreak/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Reddy,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Dumitru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Popescu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Stelea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L.;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Maghiari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A.L.; et al. The Effects of Vitamin D Supplementation before 20 Weeks of Gestation on Preeclampsia: A Systematic Review. J. Pers. Med. 2023, 13, 996. https://doi.org/10.3390/jpm13060996. FI=3.4. Link FI: </w:t>
            </w:r>
            <w:hyperlink r:id="rId11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https://jcr.clarivate.com/jcr-jp/journal-profile?journal=J%20PERS%20MED&amp;year=2022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Dumitru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Popa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Z.L.;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Bloanca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V.;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Alambaram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S.; et al. A Prospective Analysis of Vitamin D Levels in Pregnant Women Diagnosed with Gestational Hypertension after SARS-CoV-2 Infection. J. Pers. Med. 2023, 13, 317. https://doi.org/10.3390/jpm13020317. FI=3.4.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Link FI: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12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https://jcr.clarivate.com/jcr-jp/journal-profile?journal=J%20PERS%20MED&amp;year=2022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Iordache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O.;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Stelea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L.;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Sacarin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Socol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Boarta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Silaghi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Puichita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et al. A Cross-Sectional Analysis of Intimacy Problems, Stress Levels, and Couple Satisfaction among Women with Thrombophilia Affected by Recurrent Pregnancy Loss. Int. J. Environ. Res. Public Health 2023, 20, 1208. https://doi.org/10.3390/ijerph20021208. FI=4,614. Link FI: 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13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https://jcr.clarivate.com/jcr-jp/journal-profile?journal=INT%20J%20ENV%20RES%20PUB%20HE&amp;year=2021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lastRenderedPageBreak/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Grigoras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M.L.;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Silaghi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Orlu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I.N.;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Bhattarai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et al. The Influence of Maternal Vitamin D Supplementation in Pregnancies Associated with Preeclampsia: A Case-Control Study. Nutrients 2022, 14, 3008. https://doi.org/10.3390/nu14153008. FI=5.9, Link 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FI: 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14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https://jcr.clarivate.com/jcr-jp/journal-profile?journal=NUTRIENTS&amp;year=2022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Popescu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Pantea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Dumitru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Mocanu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Dema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Tigmeanu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C.V.; et al. The Impact of SARS-CoV-2 Pandemic on Patients Undergoing Radiation Therapy for Advanced Cervical Cancer at a Romanian Academic Center: A Four-Year Retrospective Analysis. Diagnostics 2022, 12, 1488. 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https://doi.org/10.3390/diagnostics12061488. FI=3.6. Link FI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15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https://jcr.clarivate.com/jcr-jp/journal-profile?journal=DIAGNOSTICS&amp;year=2022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Chelu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Bernad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E.;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Mocanu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Vernic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Chiriac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V.D.;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Tomescu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L.;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Borza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 Prevalence of Gestational Diabetes in preCOVID-19 and COVID-19 Years and Its Impact on Pregnancy: A 5-Year Retrospective Study. Diagnostics 2022, 12, 1241. </w:t>
            </w:r>
            <w:hyperlink r:id="rId16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https://doi.org/10.3390/diagnostics12051241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Popescu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Pantea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Pirvu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Chiriac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V.D.;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Marincu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Bogdan, I.;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Hosin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et al. COVID-19 Pandemic Effects on Cervical Cancer Diagnosis and Management: A Population-Based Study in Romania. Diagnostics 2022, 12, 907. https://doi.org/10.3390/diagnostics12040907. FI=3.6. Link FI: 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17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https://jcr.clarivate.com/jcr-jp/journal-profile?journal=DIAGNOSTICS&amp;year=2022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lastRenderedPageBreak/>
              <w:t>Popescu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Pantea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Pirvu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Marincu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Bogdan, I.;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Hosin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et al. COVID-19 Pandemic Impact on Surgical Treatment Methods for Early-Stage Cervical Cancer: A Population-Based Study in Romania. Healthcare 2022, 10, 639. https://doi.org/10.3390/healthcare10040639. FI=2.8. Link FI: </w:t>
            </w:r>
            <w:hyperlink r:id="rId18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https://jcr.clarivate.com/jcr-jp/journal-profile?journal=HEALTHCARE-BASEL&amp;year=2022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Margan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M.-M.;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O.M.;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Burlea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B.;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Rosca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O.;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Grigoras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M.L.; et al. Calcium, Magnesium, and Zinc Supplementation during Pregnancy: The Additive Value of Micronutrients on Maternal Immune Response after SARS-CoV-2 Infection. Nutrients 2022, 14, 1445. https://doi.org/10.3390/nu14071445. FI=5.9. Link FI: </w:t>
            </w:r>
            <w:hyperlink r:id="rId19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https://jcr.clarivate.com/jcr-jp/journal-profile?journal=NUTRIENTS&amp;year=2022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I.M.;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Motoc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Burlea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B.;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Rosca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O.;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Hosin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Manolescu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et al. Using the NYHA Classification as Forecasting Tool for Hospital Readmission and Mortality in Heart Failure Patients with COVID-19. J.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Clin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. Med. 2022, 11, 1382. https://doi.org/10.3390/jcm11051382. FI=3.9, Link FI: </w:t>
            </w:r>
            <w:hyperlink r:id="rId20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https://jcr.clarivate.com/jcr-jp/journal-profile?journal=J%20CLIN%20MED&amp;year=2022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IM,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C,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F,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Sas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Tomescu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L,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R,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Motoc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A,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OM,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Burlea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B,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Bratosin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F,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Malita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D. Immunogenicity Following Administration of BNT162b2 and Ad26.COV2.S COVID-19 Vaccines in the Pregnant Population during the Third Trimester. Viruses. 2022 Feb 2</w:t>
            </w:r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;14</w:t>
            </w:r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(2):307. </w:t>
            </w:r>
            <w:proofErr w:type="spellStart"/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doi</w:t>
            </w:r>
            <w:proofErr w:type="spellEnd"/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: 10.3390/v14020307. PMID: 35215900; PMCID: PMC8878278</w:t>
            </w:r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..</w:t>
            </w:r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FI=4.7. Link FI=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21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https://jcr.clarivate.com/jcr-jp/journal-profile?journal=VIRUSES-BASEL&amp;year=2022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lastRenderedPageBreak/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C,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F,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Motoc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A,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Sas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OM,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Burlea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B,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Tuta-Sas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Tomescu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L,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R,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Malita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D,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IM. The Predictive Role of NLR, d-NLR, MLR, and SIRI in COVID-19 Mortality. Diagnostics (Basel). 2022 Jan 6</w:t>
            </w:r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;12</w:t>
            </w:r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(1):122. </w:t>
            </w:r>
            <w:proofErr w:type="spellStart"/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doi</w:t>
            </w:r>
            <w:proofErr w:type="spellEnd"/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: 10.3390/diagnostics12010122. PMID: 35054289; PMCID: PMC8774862. FI=3.6. Link Fi=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22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https://jcr.clarivate.com/jcr-jp/journal-profile?journal=DIAGNOSTICS&amp;year=2022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C,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F,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Motoc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A,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Sas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OM,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Burlea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B,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Serban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DM,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R,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IM. Hysteroscopy as a Primary Tool in Exploration and Treatment of Infertility: Single Center Experience in Western Romania. Diagnostics (Basel). 2021 Oct 16</w:t>
            </w:r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;11</w:t>
            </w:r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(10):1917. </w:t>
            </w:r>
            <w:proofErr w:type="spellStart"/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doi</w:t>
            </w:r>
            <w:proofErr w:type="spellEnd"/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: 10.3390/diagnostics11101917. PMID: 34679615; PMCID: PMC8535164. FI= 3.6. Link FI: </w:t>
            </w:r>
            <w:hyperlink r:id="rId23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https://jcr.clarivate.com/jcr-jp/journal-profile?journal=DIAGNOSTICS&amp;year=2022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2525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Mocanu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Gorun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F.;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Ciohat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Navolan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Malita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Vilibic-Cavlek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T.;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R.;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Popescu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Cioca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A.; et al. Simultaneous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Seroprevalence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to Toxoplasma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gondii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Cytomegalovirus and Rubella Virus in Childbearing Women from Western Romania.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Medicina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2021, 57, 927. https://doi.org/10.3390/medicina57090927. Fi=2.6. Link FI=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hyperlink r:id="rId24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https://jcr.clarivate.com/jcr-jp/journal-profile?journal=MEDICINA-LITHUANIA&amp;year=2022</w:t>
              </w:r>
            </w:hyperlink>
          </w:p>
          <w:p w:rsidR="00EC2DE6" w:rsidRPr="00EC2DE6" w:rsidRDefault="00EC2DE6" w:rsidP="00EC2D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3033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lastRenderedPageBreak/>
              <w:t>Toth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G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Toth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George);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M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Marius);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Stelea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L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Stelea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Lavinia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C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Citu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Cosmin);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R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Fogorossy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A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Fogorossy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Atila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Moleriu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RD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Moleriu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Dumitru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Bardan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R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Bardan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Razvan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Petre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I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Petre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Izabella); Susan, R (Susan,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Razvan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Cheveresan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A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Cheveresan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Adelina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Suciu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N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Suciu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Nicolae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), The Association Between Resistivity Index (IR) and the sFlt-1 and PIGF Values in Pregnant Women With Risk of Preeclampsia, REVISTA DE CHIMIE  Volume: 69  Issue: 12  Pages: 3457-3460  Published: DEC 2018. FI=1.755. Link FI:   </w:t>
            </w:r>
            <w:hyperlink r:id="rId25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https://jcr.clarivate.com/jcr-jp/journal-profile?journal=REV%20CHIM-BUCHAREST&amp;year=2019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3033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Ilyes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SG,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Chiriac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VD,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A,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Mihaela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V,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Dahma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G,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Mocanu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AG,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R,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Silaghi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C,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D,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Bernad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E,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Craina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M. The Influence of Maternal Factors on Neonatal Intensive Care Unit Admission and In-Hospital Mortality in Premature Newborns from Western Romania: A Population-Based Study.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Medicina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(Kaunas). 2022 May 26</w:t>
            </w:r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;58</w:t>
            </w:r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(6):709. </w:t>
            </w:r>
            <w:proofErr w:type="spellStart"/>
            <w:proofErr w:type="gram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doi</w:t>
            </w:r>
            <w:proofErr w:type="spellEnd"/>
            <w:proofErr w:type="gram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: 10.3390/medicina58060709. PMID: 35743972; PMCID: PMC9229487. FI=2.6. Link FI: </w:t>
            </w:r>
            <w:hyperlink r:id="rId26" w:history="1">
              <w:r w:rsidRPr="00EC2DE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https://jcr.clarivate.com/jcr-jp/journal-profile?journal=MEDICINA-LITHUANIA&amp;year=2022</w:t>
              </w:r>
            </w:hyperlink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  <w:tr w:rsidR="00EC2DE6" w:rsidRPr="00EC2DE6" w:rsidTr="00EC2DE6">
        <w:trPr>
          <w:trHeight w:val="3162"/>
        </w:trPr>
        <w:tc>
          <w:tcPr>
            <w:tcW w:w="9260" w:type="dxa"/>
            <w:gridSpan w:val="2"/>
            <w:shd w:val="clear" w:color="auto" w:fill="auto"/>
            <w:vAlign w:val="center"/>
            <w:hideMark/>
          </w:tcPr>
          <w:p w:rsidR="00EC2DE6" w:rsidRPr="00EC2DE6" w:rsidRDefault="00EC2DE6" w:rsidP="00EC2DE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Oancea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A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Oancea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Alexandru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Stanescu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C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Stanescu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Casiana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Popov, DMA (Popov, Diana Maria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Anastasiu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R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Neamtu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Radu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Anastasiu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D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Anastasiu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Doru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A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Gluhovschi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Adrian);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Poenaru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, M (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Poenaru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Marioara</w:t>
            </w:r>
            <w:proofErr w:type="spellEnd"/>
            <w:r w:rsidRPr="00EC2DE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  <w:t>), Pregnancy Anemia as a Favorable Factor of Premature Birth, REVISTA DE CHIMIE  Volume: 69  Issue: 7  Pages: 1886-1888  Published: JUL 2018 . FI=1.755. Link FI:https://jcr.clarivate.com/jcr-jp/journal-profile?journal=REV%20CHIM-BUCHAREST&amp;year=2019</w:t>
            </w: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  <w:p w:rsidR="00EC2DE6" w:rsidRPr="00EC2DE6" w:rsidRDefault="00EC2DE6" w:rsidP="00EC2DE6">
            <w:pPr>
              <w:pStyle w:val="ListParagraph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/>
              </w:rPr>
            </w:pPr>
          </w:p>
        </w:tc>
      </w:tr>
    </w:tbl>
    <w:p w:rsidR="000B6078" w:rsidRPr="00EC2DE6" w:rsidRDefault="00EC2DE6" w:rsidP="00EC2DE6">
      <w:pPr>
        <w:pStyle w:val="ListParagraph"/>
        <w:spacing w:after="0" w:line="360" w:lineRule="auto"/>
        <w:ind w:left="18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br w:type="textWrapping" w:clear="all"/>
      </w:r>
    </w:p>
    <w:p w:rsidR="000B6078" w:rsidRPr="00EC2DE6" w:rsidRDefault="000B6078" w:rsidP="00EC2DE6">
      <w:pPr>
        <w:pStyle w:val="ListParagraph"/>
        <w:spacing w:after="0" w:line="360" w:lineRule="auto"/>
        <w:ind w:left="18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950431" w:rsidRPr="00EC2DE6" w:rsidRDefault="00950431" w:rsidP="00EC2DE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DE6">
        <w:rPr>
          <w:rFonts w:ascii="Times New Roman" w:hAnsi="Times New Roman" w:cs="Times New Roman"/>
          <w:sz w:val="24"/>
          <w:szCs w:val="24"/>
        </w:rPr>
        <w:t>Articole în reviste indexate ISI fără factor de impact</w:t>
      </w:r>
      <w:r w:rsidR="000B6078" w:rsidRPr="00EC2DE6">
        <w:rPr>
          <w:rFonts w:ascii="Times New Roman" w:hAnsi="Times New Roman" w:cs="Times New Roman"/>
          <w:sz w:val="24"/>
          <w:szCs w:val="24"/>
        </w:rPr>
        <w:t>:</w:t>
      </w:r>
    </w:p>
    <w:p w:rsidR="00950431" w:rsidRPr="00EC2DE6" w:rsidRDefault="00950431" w:rsidP="00EC2DE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DE6">
        <w:rPr>
          <w:rFonts w:ascii="Times New Roman" w:hAnsi="Times New Roman" w:cs="Times New Roman"/>
          <w:sz w:val="24"/>
          <w:szCs w:val="24"/>
        </w:rPr>
        <w:lastRenderedPageBreak/>
        <w:t>Articole în reviste indexate BDI</w:t>
      </w:r>
      <w:r w:rsidR="000B6078" w:rsidRPr="00EC2DE6">
        <w:rPr>
          <w:rFonts w:ascii="Times New Roman" w:hAnsi="Times New Roman" w:cs="Times New Roman"/>
          <w:sz w:val="24"/>
          <w:szCs w:val="24"/>
        </w:rPr>
        <w:t>:</w:t>
      </w:r>
    </w:p>
    <w:p w:rsidR="00950431" w:rsidRPr="00EC2DE6" w:rsidRDefault="00950431" w:rsidP="00EC2DE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DE6">
        <w:rPr>
          <w:rFonts w:ascii="Times New Roman" w:hAnsi="Times New Roman" w:cs="Times New Roman"/>
          <w:b/>
          <w:sz w:val="24"/>
          <w:szCs w:val="24"/>
        </w:rPr>
        <w:t>Lucrări sau studii publicate în rezumat:</w:t>
      </w:r>
    </w:p>
    <w:p w:rsidR="00EC2DE6" w:rsidRPr="00EC2DE6" w:rsidRDefault="00EC2DE6" w:rsidP="00EC2DE6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C2DE6" w:rsidRPr="00EC2DE6" w:rsidRDefault="00EC2DE6" w:rsidP="00EC2DE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Radu-Ionut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C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Catalin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Roxana);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Madalin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A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Eremici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Eremici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Ivana);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Petre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Petre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Izabella);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Anastasiu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-Popov, D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Anastasiu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-Popov, Diana);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Marius);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Motoc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A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Motoc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Andrei);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Ion), 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Embrioreduction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in High-Risk Multiple Pregnancy, PROCEEDINGS OF SOGR 2018: THE 17TH NATIONAL CONGRESS OF THE ROMANIAN SOCIETY OF OBSTETRICS AND GYNECOLOGY &amp; FIRST ADVANCED COLPOSCOPY COURSE  Pages: 517-520  Published: 2019  </w:t>
      </w:r>
    </w:p>
    <w:p w:rsidR="00EC2DE6" w:rsidRPr="00EC2DE6" w:rsidRDefault="00EC2DE6" w:rsidP="00EC2DE6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Radu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C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Catalin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Roxana);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Dobrescu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A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Dobrescu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Amadeus);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Marius);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Motoc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A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Motoc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Andrei);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Ion), Endometriosis: Factor of Female Sterility, 13TH CONFERENCE OF THE ROMANIAN-GERMAN SOCIETY OF OBSTETRICS AND GYNECOLOGY  Pages: 216-219  Published: 2017  </w:t>
      </w:r>
    </w:p>
    <w:p w:rsidR="00EC2DE6" w:rsidRPr="00EC2DE6" w:rsidRDefault="00EC2DE6" w:rsidP="00EC2DE6">
      <w:pPr>
        <w:pStyle w:val="ListParagraph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Madalin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-Marius);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Roxana);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Bumbar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AM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Bumbar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Andreea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-Maria);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Burjan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Burjan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Maria-Magdalena);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Andrica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PA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Andrica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Paula-Alexandra);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Cioroianu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Cioroianu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Iris);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Socol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G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Socol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George);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Eremici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Eremici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Ivana);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Radu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ZL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Zoran-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Laurentiu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Catalin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D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Catalin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),  Clinical Effectiveness of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Atosiban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Tractocile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 in the Management of Preterm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Labour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PROCEEDINGS OF SOGR 2018: THE 17TH NATIONAL CONGRESS OF THE ROMANIAN SOCIETY OF OBSTETRICS AND GYNECOLOGY &amp; FIRST ADVANCED COLPOSCOPY COURSE  Pages: 418-423  Published: 2019   </w:t>
      </w:r>
    </w:p>
    <w:p w:rsidR="00EC2DE6" w:rsidRPr="00EC2DE6" w:rsidRDefault="00EC2DE6" w:rsidP="00EC2DE6">
      <w:pPr>
        <w:pStyle w:val="ListParagraph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Eremici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Eremici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Ivana);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C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Dumitru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Catalin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Stoian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D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Stoian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Dana);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Margan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Madalin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A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Popescu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Alin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Radu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lastRenderedPageBreak/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Marius), Obstetrical Complications Associated with Increasing Caesarean Section Rates, PROCEEDINGS OF SOGR 2018: THE 17TH NATIONAL CONGRESS OF THE ROMANIAN SOCIETY OF OBSTETRICS AND </w:t>
      </w:r>
      <w:bookmarkStart w:id="0" w:name="_GoBack"/>
      <w:bookmarkEnd w:id="0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GYNECOLOGY &amp; FIRST ADVANCED COLPOSCOPY COURSE  Pages: 306-309  Published: 2019  </w:t>
      </w:r>
    </w:p>
    <w:p w:rsidR="00EC2DE6" w:rsidRPr="00EC2DE6" w:rsidRDefault="00EC2DE6" w:rsidP="00EC2DE6">
      <w:pPr>
        <w:pStyle w:val="ListParagraph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Stelea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L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Stelea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Lavinia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Petre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I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Petre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Izabella);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Rapcea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Rapcea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Raluca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R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Neamtu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,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Radu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 xml:space="preserve">); 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 (</w:t>
      </w:r>
      <w:proofErr w:type="spellStart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Craina</w:t>
      </w:r>
      <w:proofErr w:type="spellEnd"/>
      <w:r w:rsidRPr="00EC2DE6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, Marius), Polycystic Ovaries and the Polycystic Ovary Syndrome,  6th Congress of the Ultrasound-Society-in-Obstetrics-and-Gynecology, MAY 16-19, 2018</w:t>
      </w:r>
    </w:p>
    <w:p w:rsidR="00EC2DE6" w:rsidRPr="00EC2DE6" w:rsidRDefault="00EC2DE6" w:rsidP="00EC2DE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C2DE6" w:rsidRPr="00EC2DE6" w:rsidRDefault="00EC2DE6" w:rsidP="00EC2DE6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C2DE6" w:rsidRPr="00EC2DE6" w:rsidSect="000B6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27" w:rsidRDefault="00461927" w:rsidP="000B6078">
      <w:pPr>
        <w:spacing w:after="0" w:line="240" w:lineRule="auto"/>
      </w:pPr>
      <w:r>
        <w:separator/>
      </w:r>
    </w:p>
  </w:endnote>
  <w:endnote w:type="continuationSeparator" w:id="0">
    <w:p w:rsidR="00461927" w:rsidRDefault="00461927" w:rsidP="000B6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27" w:rsidRDefault="00461927" w:rsidP="000B6078">
      <w:pPr>
        <w:spacing w:after="0" w:line="240" w:lineRule="auto"/>
      </w:pPr>
      <w:r>
        <w:separator/>
      </w:r>
    </w:p>
  </w:footnote>
  <w:footnote w:type="continuationSeparator" w:id="0">
    <w:p w:rsidR="00461927" w:rsidRDefault="00461927" w:rsidP="000B6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1B7E"/>
    <w:multiLevelType w:val="hybridMultilevel"/>
    <w:tmpl w:val="D730F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07767"/>
    <w:multiLevelType w:val="hybridMultilevel"/>
    <w:tmpl w:val="FC0277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58B7131"/>
    <w:multiLevelType w:val="hybridMultilevel"/>
    <w:tmpl w:val="85768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04448"/>
    <w:multiLevelType w:val="hybridMultilevel"/>
    <w:tmpl w:val="810407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3025A16"/>
    <w:multiLevelType w:val="hybridMultilevel"/>
    <w:tmpl w:val="53B0DC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2A36FE9"/>
    <w:multiLevelType w:val="hybridMultilevel"/>
    <w:tmpl w:val="32BA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EA2E05"/>
    <w:multiLevelType w:val="hybridMultilevel"/>
    <w:tmpl w:val="7D42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61AD7"/>
    <w:multiLevelType w:val="hybridMultilevel"/>
    <w:tmpl w:val="CBC83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82274"/>
    <w:multiLevelType w:val="hybridMultilevel"/>
    <w:tmpl w:val="69FC6622"/>
    <w:lvl w:ilvl="0" w:tplc="93906322">
      <w:start w:val="1"/>
      <w:numFmt w:val="decimal"/>
      <w:lvlText w:val="%1."/>
      <w:lvlJc w:val="left"/>
      <w:pPr>
        <w:ind w:left="720" w:hanging="360"/>
      </w:pPr>
      <w:rPr>
        <w:b w:val="0"/>
        <w:sz w:val="4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E01A4"/>
    <w:multiLevelType w:val="hybridMultilevel"/>
    <w:tmpl w:val="78A0F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960E4"/>
    <w:multiLevelType w:val="hybridMultilevel"/>
    <w:tmpl w:val="9E8E3EB2"/>
    <w:lvl w:ilvl="0" w:tplc="DAB270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BC"/>
    <w:rsid w:val="000B6078"/>
    <w:rsid w:val="00461927"/>
    <w:rsid w:val="005A2F01"/>
    <w:rsid w:val="005E08F3"/>
    <w:rsid w:val="00753401"/>
    <w:rsid w:val="007569C1"/>
    <w:rsid w:val="00950431"/>
    <w:rsid w:val="00BB0B7F"/>
    <w:rsid w:val="00CF7E15"/>
    <w:rsid w:val="00E501F6"/>
    <w:rsid w:val="00E94CBC"/>
    <w:rsid w:val="00EC2DE6"/>
    <w:rsid w:val="00F6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6C640F-8A80-41DB-A2E4-564EF3AA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4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6078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B607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B6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07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B6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07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cr.clarivate.com/jcr-jp/journal-profile?journal=INT%20J%20ENV%20RES%20PUB%20HE&amp;year=2021" TargetMode="External"/><Relationship Id="rId13" Type="http://schemas.openxmlformats.org/officeDocument/2006/relationships/hyperlink" Target="https://jcr.clarivate.com/jcr-jp/journal-profile?journal=INT%20J%20ENV%20RES%20PUB%20HE&amp;year=2021" TargetMode="External"/><Relationship Id="rId18" Type="http://schemas.openxmlformats.org/officeDocument/2006/relationships/hyperlink" Target="https://jcr.clarivate.com/jcr-jp/journal-profile?journal=HEALTHCARE-BASEL&amp;year=2022" TargetMode="External"/><Relationship Id="rId26" Type="http://schemas.openxmlformats.org/officeDocument/2006/relationships/hyperlink" Target="https://jcr.clarivate.com/jcr-jp/journal-profile?journal=MEDICINA-LITHUANIA&amp;year=20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cr.clarivate.com/jcr-jp/journal-profile?journal=VIRUSES-BASEL&amp;year=2022" TargetMode="External"/><Relationship Id="rId7" Type="http://schemas.openxmlformats.org/officeDocument/2006/relationships/hyperlink" Target="https://jcr.clarivate.com/jcr-jp/journal-profile?journal=INT%20J%20ENV%20RES%20PUB%20HE&amp;year=2021" TargetMode="External"/><Relationship Id="rId12" Type="http://schemas.openxmlformats.org/officeDocument/2006/relationships/hyperlink" Target="https://jcr.clarivate.com/jcr-jp/journal-profile?journal=J%20PERS%20MED&amp;year=2022" TargetMode="External"/><Relationship Id="rId17" Type="http://schemas.openxmlformats.org/officeDocument/2006/relationships/hyperlink" Target="https://jcr.clarivate.com/jcr-jp/journal-profile?journal=DIAGNOSTICS&amp;year=2022" TargetMode="External"/><Relationship Id="rId25" Type="http://schemas.openxmlformats.org/officeDocument/2006/relationships/hyperlink" Target="https://jcr.clarivate.com/jcr-jp/journal-profile?journal=REV%20CHIM-BUCHAREST&amp;year=20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diagnostics12051241" TargetMode="External"/><Relationship Id="rId20" Type="http://schemas.openxmlformats.org/officeDocument/2006/relationships/hyperlink" Target="https://jcr.clarivate.com/jcr-jp/journal-profile?journal=J%20CLIN%20MED&amp;year=20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cr.clarivate.com/jcr-jp/journal-profile?journal=J%20PERS%20MED&amp;year=2022" TargetMode="External"/><Relationship Id="rId24" Type="http://schemas.openxmlformats.org/officeDocument/2006/relationships/hyperlink" Target="https://jcr.clarivate.com/jcr-jp/journal-profile?journal=MEDICINA-LITHUANIA&amp;year=20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cr.clarivate.com/jcr-jp/journal-profile?journal=DIAGNOSTICS&amp;year=2022" TargetMode="External"/><Relationship Id="rId23" Type="http://schemas.openxmlformats.org/officeDocument/2006/relationships/hyperlink" Target="https://jcr.clarivate.com/jcr-jp/journal-profile?journal=DIAGNOSTICS&amp;year=202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jcr.clarivate.com/jcr-jp/journal-profile?journal=DIAGNOSTICS&amp;year=2022" TargetMode="External"/><Relationship Id="rId19" Type="http://schemas.openxmlformats.org/officeDocument/2006/relationships/hyperlink" Target="https://jcr.clarivate.com/jcr-jp/journal-profile?journal=NUTRIENTS&amp;year=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cr.clarivate.com/jcr-jp/journal-profile?journal=EXP%20THER%20MED&amp;year=2022" TargetMode="External"/><Relationship Id="rId14" Type="http://schemas.openxmlformats.org/officeDocument/2006/relationships/hyperlink" Target="https://jcr.clarivate.com/jcr-jp/journal-profile?journal=NUTRIENTS&amp;year=2022" TargetMode="External"/><Relationship Id="rId22" Type="http://schemas.openxmlformats.org/officeDocument/2006/relationships/hyperlink" Target="https://jcr.clarivate.com/jcr-jp/journal-profile?journal=DIAGNOSTICS&amp;year=202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Vladoescu</dc:creator>
  <cp:keywords/>
  <dc:description/>
  <cp:lastModifiedBy>Cristian Vladoescu</cp:lastModifiedBy>
  <cp:revision>2</cp:revision>
  <dcterms:created xsi:type="dcterms:W3CDTF">2024-01-21T21:04:00Z</dcterms:created>
  <dcterms:modified xsi:type="dcterms:W3CDTF">2024-01-21T21:44:00Z</dcterms:modified>
</cp:coreProperties>
</file>