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372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13009"/>
      </w:tblGrid>
      <w:tr w:rsidR="00310AB7" w:rsidRPr="00310AB7" w14:paraId="58026B4B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304E6805" w14:textId="700E53A0" w:rsidR="00310AB7" w:rsidRPr="00310AB7" w:rsidRDefault="00310AB7" w:rsidP="00310AB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4AF94615" w14:textId="77777777" w:rsidR="00310AB7" w:rsidRPr="00310AB7" w:rsidRDefault="00310AB7" w:rsidP="00310AB7">
            <w:pPr>
              <w:spacing w:line="240" w:lineRule="auto"/>
              <w:jc w:val="both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310AB7">
              <w:rPr>
                <w:rFonts w:eastAsia="Times New Roman"/>
                <w:color w:val="181818"/>
                <w:sz w:val="18"/>
                <w:szCs w:val="18"/>
                <w:lang w:val="en-RO"/>
              </w:rPr>
              <w:t>Cornea A, Lata I, Simu M, Rosca EC. Parsonage-Turner Syndrome Following SARS-CoV-2 Infection: A Systematic Review. Biomedicines. 2023 Mar 9;11(3):837. doi: 10.3390/biomedicines11030837. PMID: 36979815; PMCID: PMC10045449.</w:t>
            </w:r>
          </w:p>
        </w:tc>
      </w:tr>
      <w:tr w:rsidR="00310AB7" w:rsidRPr="00310AB7" w14:paraId="6E020910" w14:textId="77777777" w:rsidTr="00556D76">
        <w:trPr>
          <w:trHeight w:val="540"/>
        </w:trPr>
        <w:tc>
          <w:tcPr>
            <w:tcW w:w="1020" w:type="dxa"/>
            <w:shd w:val="clear" w:color="auto" w:fill="auto"/>
            <w:vAlign w:val="center"/>
            <w:hideMark/>
          </w:tcPr>
          <w:p w14:paraId="6FDB0A03" w14:textId="2182B4E9" w:rsidR="00310AB7" w:rsidRPr="00310AB7" w:rsidRDefault="00310AB7" w:rsidP="00310AB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411C1943" w14:textId="77777777" w:rsidR="00310AB7" w:rsidRPr="00310AB7" w:rsidRDefault="00310AB7" w:rsidP="00310AB7">
            <w:pPr>
              <w:spacing w:line="240" w:lineRule="auto"/>
              <w:jc w:val="both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310AB7">
              <w:rPr>
                <w:rFonts w:eastAsia="Times New Roman"/>
                <w:color w:val="181818"/>
                <w:sz w:val="18"/>
                <w:szCs w:val="18"/>
                <w:lang w:val="en-RO"/>
              </w:rPr>
              <w:t>Cornea A, Lata I, Simu M, Rosca EC. Assessment and Diagnosis of HIV-Associated Dementia. Viruses. 2023 Jan 28;15(2):378. doi: 10.3390/v15020378. PMID: 36851592; PMCID: PMC9966987.</w:t>
            </w:r>
          </w:p>
        </w:tc>
      </w:tr>
      <w:tr w:rsidR="00310AB7" w:rsidRPr="00310AB7" w14:paraId="4AFF747C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5F228FF7" w14:textId="12049886" w:rsidR="00310AB7" w:rsidRPr="00310AB7" w:rsidRDefault="00310AB7" w:rsidP="00310AB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4BF9D8D0" w14:textId="77777777" w:rsidR="00310AB7" w:rsidRPr="00310AB7" w:rsidRDefault="00310AB7" w:rsidP="00310AB7">
            <w:pPr>
              <w:spacing w:line="240" w:lineRule="auto"/>
              <w:jc w:val="both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310AB7">
              <w:rPr>
                <w:rFonts w:eastAsia="Times New Roman"/>
                <w:color w:val="181818"/>
                <w:sz w:val="18"/>
                <w:szCs w:val="18"/>
                <w:lang w:val="en-RO"/>
              </w:rPr>
              <w:t>Cornea A, Lata I, Simu M, Rosca EC. Wernicke Encephalopathy Presenting with Dysphagia: A Case Report and Systematic Literature Review. Nutrients. 2022 Dec 13;14(24):5294. doi: 10.3390/nu14245294. PMID: 36558453; PMCID: PMC9788281.</w:t>
            </w:r>
          </w:p>
        </w:tc>
      </w:tr>
      <w:tr w:rsidR="00310AB7" w:rsidRPr="00310AB7" w14:paraId="0E8EDE7C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4524997B" w14:textId="3E56D162" w:rsidR="00310AB7" w:rsidRPr="00310AB7" w:rsidRDefault="00310AB7" w:rsidP="00310AB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2820D4C2" w14:textId="77777777" w:rsidR="00310AB7" w:rsidRPr="00310AB7" w:rsidRDefault="00310AB7" w:rsidP="00310AB7">
            <w:pPr>
              <w:spacing w:line="240" w:lineRule="auto"/>
              <w:jc w:val="both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310AB7">
              <w:rPr>
                <w:rFonts w:eastAsia="Times New Roman"/>
                <w:color w:val="181818"/>
                <w:sz w:val="18"/>
                <w:szCs w:val="18"/>
                <w:lang w:val="en-RO"/>
              </w:rPr>
              <w:t>Cornea A, Simu M, Rosca EC. Montreal Cognitive Assessment for Evaluating Cognitive Impairment in Subarachnoid Hemorrhage: A Systematic Review. J Clin Med. 2022 Aug 10;11(16):4679. doi: 10.3390/jcm11164679. PMID: 36012917; PMCID: PMC9409824.</w:t>
            </w:r>
          </w:p>
        </w:tc>
      </w:tr>
      <w:tr w:rsidR="00310AB7" w:rsidRPr="00310AB7" w14:paraId="1887A4ED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19FA03E1" w14:textId="6CA46877" w:rsidR="00310AB7" w:rsidRPr="00310AB7" w:rsidRDefault="00310AB7" w:rsidP="00310AB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2773977F" w14:textId="77777777" w:rsidR="00310AB7" w:rsidRPr="00310AB7" w:rsidRDefault="00310AB7" w:rsidP="00310AB7">
            <w:pPr>
              <w:spacing w:line="240" w:lineRule="auto"/>
              <w:jc w:val="both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310AB7">
              <w:rPr>
                <w:rFonts w:eastAsia="Times New Roman"/>
                <w:color w:val="181818"/>
                <w:sz w:val="18"/>
                <w:szCs w:val="18"/>
                <w:lang w:val="en-RO"/>
              </w:rPr>
              <w:t>Cornea A, Simu M, Rosca EC. Subarachnoid Hemorrhage in Patients with SARS-CoV-2 Infection: Protocol for A Scoping Review. Brain Sci. 2022 Sep 30;12(10):1327. doi: 10.3390/brainsci12101327. PMID: 36291263; PMCID: PMC9599430.</w:t>
            </w:r>
          </w:p>
        </w:tc>
      </w:tr>
    </w:tbl>
    <w:p w14:paraId="1BEE00BD" w14:textId="7797E21D" w:rsidR="0051690B" w:rsidRDefault="0051690B" w:rsidP="00310AB7"/>
    <w:p w14:paraId="6927B842" w14:textId="77777777" w:rsidR="00310AB7" w:rsidRDefault="00310AB7" w:rsidP="00310AB7"/>
    <w:p w14:paraId="00C01F5B" w14:textId="77777777" w:rsidR="00310AB7" w:rsidRDefault="00310AB7" w:rsidP="00310AB7"/>
    <w:p w14:paraId="6B7CAB14" w14:textId="77777777" w:rsidR="00310AB7" w:rsidRDefault="00310AB7" w:rsidP="00310AB7"/>
    <w:p w14:paraId="510134C3" w14:textId="77777777" w:rsidR="00310AB7" w:rsidRDefault="00310AB7" w:rsidP="00310AB7"/>
    <w:p w14:paraId="005A6F6E" w14:textId="77777777" w:rsidR="00310AB7" w:rsidRDefault="00310AB7" w:rsidP="00310AB7"/>
    <w:p w14:paraId="27FE9955" w14:textId="77777777" w:rsidR="00310AB7" w:rsidRDefault="00310AB7" w:rsidP="00310AB7"/>
    <w:p w14:paraId="4411A956" w14:textId="77777777" w:rsidR="00310AB7" w:rsidRDefault="00310AB7" w:rsidP="00310AB7"/>
    <w:p w14:paraId="57179CF0" w14:textId="77777777" w:rsidR="00310AB7" w:rsidRDefault="00310AB7" w:rsidP="00310AB7"/>
    <w:p w14:paraId="724B1BC2" w14:textId="77777777" w:rsidR="00310AB7" w:rsidRDefault="00310AB7" w:rsidP="00310AB7"/>
    <w:tbl>
      <w:tblPr>
        <w:tblpPr w:leftFromText="180" w:rightFromText="180" w:vertAnchor="page" w:horzAnchor="margin" w:tblpY="1783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13009"/>
      </w:tblGrid>
      <w:tr w:rsidR="00556D76" w:rsidRPr="0063332A" w14:paraId="2AD6DDF6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6F40E3E7" w14:textId="4B55BA81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noWrap/>
            <w:vAlign w:val="center"/>
            <w:hideMark/>
          </w:tcPr>
          <w:p w14:paraId="277411AD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Rosca EC, Bilavu R, Cornea A, Simu M. The frequency of SARS-CoV-2 infection/vaccination-related chorea depends on the inclusion/exclusion criteria - author's reply. Int J Infect Dis. 2023 Dec;137:159-160. doi: 10.1016/j.ijid.2023.09.023. Epub 2023 Nov 1. PMID: 38042575.</w:t>
            </w:r>
          </w:p>
        </w:tc>
      </w:tr>
      <w:tr w:rsidR="00556D76" w:rsidRPr="0063332A" w14:paraId="785EA33B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100DDE1E" w14:textId="2136D235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7F0EDDC4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Rosca EC, Bilavu R, Cornea A, Simu M. Chorea following SARS-CoV-2 infection and vaccination: a systematic review of reported cases. Int J Infect Dis. 2023 Sep;134:256-260. doi: 10.1016/j.ijid.2023.07.001. Epub 2023 Jul 7. PMID: 37423421.</w:t>
            </w:r>
          </w:p>
        </w:tc>
      </w:tr>
      <w:tr w:rsidR="00556D76" w:rsidRPr="0063332A" w14:paraId="6DC10782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61A91860" w14:textId="22F2CA0E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2F190427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Cornea A, Lata I, Simu M, Rosca EC. Parsonage-Turner Syndrome Following SARS-CoV-2 Infection: A Systematic Review. Biomedicines. 2023 Mar 9;11(3):837. doi: 10.3390/biomedicines11030837. PMID: 36979815; PMCID: PMC10045449.</w:t>
            </w:r>
          </w:p>
        </w:tc>
      </w:tr>
      <w:tr w:rsidR="00556D76" w:rsidRPr="0063332A" w14:paraId="0DF9E6FD" w14:textId="77777777" w:rsidTr="00556D76">
        <w:trPr>
          <w:trHeight w:val="540"/>
        </w:trPr>
        <w:tc>
          <w:tcPr>
            <w:tcW w:w="1020" w:type="dxa"/>
            <w:shd w:val="clear" w:color="auto" w:fill="auto"/>
            <w:vAlign w:val="center"/>
            <w:hideMark/>
          </w:tcPr>
          <w:p w14:paraId="214A0109" w14:textId="7BCEE9C6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2F168505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Rosca EC, Tudor R, Cornea A, Simu M. Parkinson's Disease in Romania: A Scoping Review. Brain Sci. 2021 May 27;11(6):709. doi: 10.3390/brainsci11060709. PMID: 34071802; PMCID: PMC8226866.</w:t>
            </w:r>
          </w:p>
        </w:tc>
      </w:tr>
      <w:tr w:rsidR="00556D76" w:rsidRPr="0063332A" w14:paraId="023EB6F3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471F270A" w14:textId="3161DC6B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11298E24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Rosca EC, Tadger P, Cornea A, Tudor R, Oancea C, Simu M. International HIV Dementia Scale for HIV-Associated Neurocognitive Disorders: A Systematic Review and Meta-Analysis. Diagnostics (Basel). 2021 Jun 20;11(6):1124. doi: 10.3390/diagnostics11061124. PMID: 34202994; PMCID: PMC8235728.</w:t>
            </w:r>
          </w:p>
        </w:tc>
      </w:tr>
      <w:tr w:rsidR="00556D76" w:rsidRPr="0063332A" w14:paraId="5232C216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3AFD40C6" w14:textId="000F5A8D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20AAC420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Rosca EC, Tudor R, Cornea A, Simu M. Central Nervous System Involvement in Trichinellosis: A Systematic Review. Diagnostics (Basel). 2021 May 25;11(6):945. doi: 10.3390/diagnostics11060945. PMID: 34070586; PMCID: PMC8227095.</w:t>
            </w:r>
          </w:p>
        </w:tc>
      </w:tr>
      <w:tr w:rsidR="00556D76" w:rsidRPr="0063332A" w14:paraId="7723B3A9" w14:textId="77777777" w:rsidTr="00556D76">
        <w:trPr>
          <w:trHeight w:val="540"/>
        </w:trPr>
        <w:tc>
          <w:tcPr>
            <w:tcW w:w="1020" w:type="dxa"/>
            <w:shd w:val="clear" w:color="auto" w:fill="auto"/>
            <w:vAlign w:val="center"/>
            <w:hideMark/>
          </w:tcPr>
          <w:p w14:paraId="004CA442" w14:textId="5E35016B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1746186C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Rosca EC, Tudor R, Cornea A, Simu M. Parkinson's Disease in Romania: A Scoping Review Protocol. Brain Sci. 2021 Feb 17;11(2):251. doi: 10.3390/brainsci11020251. PMID: 33671440; PMCID: PMC7922587.</w:t>
            </w:r>
          </w:p>
        </w:tc>
      </w:tr>
      <w:tr w:rsidR="00556D76" w:rsidRPr="0063332A" w14:paraId="6A424D2D" w14:textId="77777777" w:rsidTr="00556D76">
        <w:trPr>
          <w:trHeight w:val="1060"/>
        </w:trPr>
        <w:tc>
          <w:tcPr>
            <w:tcW w:w="1020" w:type="dxa"/>
            <w:shd w:val="clear" w:color="auto" w:fill="auto"/>
            <w:vAlign w:val="center"/>
            <w:hideMark/>
          </w:tcPr>
          <w:p w14:paraId="2FB04D18" w14:textId="7F6B1683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198A5096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Tudor R, Iovanescu G, Reisz D, Cornea A, Potre-Oncu C, Tutelca A, Simu M. Additional factors to corelate with a more than 30% NIHSS score improvement in patients 7 days after fibrinolytic and/or endovascular treatment for ischemic stroke. BMC Neurol. 2020 Nov 14;20(1):417. doi: 10.1186/s12883-020-01990-z. PMID: 33189130; PMCID: PMC7666450.</w:t>
            </w:r>
          </w:p>
        </w:tc>
      </w:tr>
      <w:tr w:rsidR="00556D76" w:rsidRPr="0063332A" w14:paraId="7ACDCA9A" w14:textId="77777777" w:rsidTr="00556D76">
        <w:trPr>
          <w:trHeight w:val="800"/>
        </w:trPr>
        <w:tc>
          <w:tcPr>
            <w:tcW w:w="1020" w:type="dxa"/>
            <w:shd w:val="clear" w:color="auto" w:fill="auto"/>
            <w:vAlign w:val="center"/>
            <w:hideMark/>
          </w:tcPr>
          <w:p w14:paraId="0C97AA84" w14:textId="64FE2E33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31754466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Rosca EC, Cornea A, Simu M. Montreal Cognitive Assessment for evaluating the cognitive impairment in patients with schizophrenia: A systematic review. Gen Hosp Psychiatry. 2020 Jul-Aug;65:64-73. doi: 10.1016/j.genhosppsych.2020.05.011. Epub 2020 May 29. PMID: 32502879.</w:t>
            </w:r>
          </w:p>
        </w:tc>
      </w:tr>
      <w:tr w:rsidR="00556D76" w:rsidRPr="0063332A" w14:paraId="49F0F4D2" w14:textId="77777777" w:rsidTr="00556D76">
        <w:trPr>
          <w:trHeight w:val="1060"/>
        </w:trPr>
        <w:tc>
          <w:tcPr>
            <w:tcW w:w="1020" w:type="dxa"/>
            <w:shd w:val="clear" w:color="auto" w:fill="auto"/>
            <w:vAlign w:val="center"/>
            <w:hideMark/>
          </w:tcPr>
          <w:p w14:paraId="43E27613" w14:textId="3B896DD0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61D8819B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Constantin VA, Szász JA, Orbán-Kis K, Rosca EC, Popovici M, Cornea A, Bancu LA, Ciorba M, Mihály I, Nagy E, Szatmári S, Simu M. Levodopa-Carbidopa Intestinal Gel Infusion Therapy Discontinuation: A Ten-Year Retrospective Analysis of 204 Treated Patients. Neuropsychiatr Dis Treat. 2020 Jul 28;16:1835-1844. doi: 10.2147/NDT.S256988. PMID: 32801718; PMCID: PMC7395851.</w:t>
            </w:r>
          </w:p>
        </w:tc>
      </w:tr>
      <w:tr w:rsidR="00556D76" w:rsidRPr="0063332A" w14:paraId="3034FB47" w14:textId="77777777" w:rsidTr="00556D76">
        <w:trPr>
          <w:trHeight w:val="540"/>
        </w:trPr>
        <w:tc>
          <w:tcPr>
            <w:tcW w:w="1020" w:type="dxa"/>
            <w:shd w:val="clear" w:color="auto" w:fill="auto"/>
            <w:vAlign w:val="center"/>
            <w:hideMark/>
          </w:tcPr>
          <w:p w14:paraId="3BECEA24" w14:textId="543A83FF" w:rsidR="00310AB7" w:rsidRPr="00310AB7" w:rsidRDefault="00310AB7" w:rsidP="00556D7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b/>
                <w:bCs/>
                <w:color w:val="181818"/>
                <w:sz w:val="18"/>
                <w:szCs w:val="18"/>
                <w:lang w:val="en-RO"/>
              </w:rPr>
            </w:pPr>
          </w:p>
        </w:tc>
        <w:tc>
          <w:tcPr>
            <w:tcW w:w="13009" w:type="dxa"/>
            <w:shd w:val="clear" w:color="auto" w:fill="auto"/>
            <w:vAlign w:val="center"/>
            <w:hideMark/>
          </w:tcPr>
          <w:p w14:paraId="0ADF365B" w14:textId="77777777" w:rsidR="00310AB7" w:rsidRPr="0063332A" w:rsidRDefault="00310AB7" w:rsidP="00556D76">
            <w:pPr>
              <w:spacing w:line="240" w:lineRule="auto"/>
              <w:ind w:right="-1093"/>
              <w:rPr>
                <w:rFonts w:eastAsia="Times New Roman"/>
                <w:color w:val="181818"/>
                <w:sz w:val="18"/>
                <w:szCs w:val="18"/>
                <w:lang w:val="en-RO"/>
              </w:rPr>
            </w:pPr>
            <w:r w:rsidRPr="0063332A">
              <w:rPr>
                <w:rFonts w:eastAsia="Times New Roman"/>
                <w:color w:val="181818"/>
                <w:sz w:val="18"/>
                <w:szCs w:val="18"/>
                <w:lang w:val="en-RO"/>
              </w:rPr>
              <w:t>Cornea R, Cîmpean AM, Simu M, Cornea A, Suciu C, Raica M. Clinical, morphological and immunohistochemical characterization of a recurrent B1 type thymoma. Rom J Morphol Embryol. 2012;53(3):639-43. PMID: 22990560.</w:t>
            </w:r>
          </w:p>
        </w:tc>
      </w:tr>
    </w:tbl>
    <w:p w14:paraId="0C6768F2" w14:textId="77777777" w:rsidR="00310AB7" w:rsidRPr="00310AB7" w:rsidRDefault="00310AB7" w:rsidP="00310AB7"/>
    <w:sectPr w:rsidR="00310AB7" w:rsidRPr="00310AB7" w:rsidSect="006A795C">
      <w:headerReference w:type="default" r:id="rId7"/>
      <w:pgSz w:w="16817" w:h="11901" w:orient="landscape"/>
      <w:pgMar w:top="1440" w:right="1440" w:bottom="1440" w:left="144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52CB2" w14:textId="77777777" w:rsidR="006A795C" w:rsidRDefault="006A795C" w:rsidP="00556D76">
      <w:pPr>
        <w:spacing w:line="240" w:lineRule="auto"/>
      </w:pPr>
      <w:r>
        <w:separator/>
      </w:r>
    </w:p>
  </w:endnote>
  <w:endnote w:type="continuationSeparator" w:id="0">
    <w:p w14:paraId="6D2F541E" w14:textId="77777777" w:rsidR="006A795C" w:rsidRDefault="006A795C" w:rsidP="00556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altName w:val="Segoe UI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C7617" w14:textId="77777777" w:rsidR="006A795C" w:rsidRDefault="006A795C" w:rsidP="00556D76">
      <w:pPr>
        <w:spacing w:line="240" w:lineRule="auto"/>
      </w:pPr>
      <w:r>
        <w:separator/>
      </w:r>
    </w:p>
  </w:footnote>
  <w:footnote w:type="continuationSeparator" w:id="0">
    <w:p w14:paraId="0C70D530" w14:textId="77777777" w:rsidR="006A795C" w:rsidRDefault="006A795C" w:rsidP="00556D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06E5F" w14:textId="36F51AA7" w:rsidR="00556D76" w:rsidRDefault="00556D76" w:rsidP="00556D7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519284" wp14:editId="616A8DC5">
          <wp:simplePos x="0" y="0"/>
          <wp:positionH relativeFrom="page">
            <wp:posOffset>3274060</wp:posOffset>
          </wp:positionH>
          <wp:positionV relativeFrom="page">
            <wp:posOffset>916940</wp:posOffset>
          </wp:positionV>
          <wp:extent cx="4351020" cy="83820"/>
          <wp:effectExtent l="0" t="0" r="0" b="0"/>
          <wp:wrapNone/>
          <wp:docPr id="5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83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F1BE84E" wp14:editId="4F9EE8F1">
          <wp:simplePos x="0" y="0"/>
          <wp:positionH relativeFrom="page">
            <wp:posOffset>3912870</wp:posOffset>
          </wp:positionH>
          <wp:positionV relativeFrom="page">
            <wp:posOffset>58420</wp:posOffset>
          </wp:positionV>
          <wp:extent cx="2979420" cy="815340"/>
          <wp:effectExtent l="0" t="0" r="0" b="0"/>
          <wp:wrapNone/>
          <wp:docPr id="6" name="Picture 5" descr="Text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Text&#10;&#10;Description automatically generated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9420" cy="815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605BF"/>
    <w:multiLevelType w:val="hybridMultilevel"/>
    <w:tmpl w:val="00C83C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94F12"/>
    <w:multiLevelType w:val="hybridMultilevel"/>
    <w:tmpl w:val="00C83C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E02A2"/>
    <w:multiLevelType w:val="hybridMultilevel"/>
    <w:tmpl w:val="5F7CB14C"/>
    <w:lvl w:ilvl="0" w:tplc="E2CC5B68">
      <w:start w:val="1"/>
      <w:numFmt w:val="bullet"/>
      <w:lvlText w:val=""/>
      <w:lvlJc w:val="left"/>
      <w:pPr>
        <w:ind w:left="39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C627D0"/>
    <w:multiLevelType w:val="hybridMultilevel"/>
    <w:tmpl w:val="916A177E"/>
    <w:lvl w:ilvl="0" w:tplc="B964BD50">
      <w:start w:val="1"/>
      <w:numFmt w:val="bullet"/>
      <w:pStyle w:val="templateprimariatgri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1854224">
    <w:abstractNumId w:val="2"/>
  </w:num>
  <w:num w:numId="2" w16cid:durableId="1037855764">
    <w:abstractNumId w:val="3"/>
  </w:num>
  <w:num w:numId="3" w16cid:durableId="469131760">
    <w:abstractNumId w:val="0"/>
  </w:num>
  <w:num w:numId="4" w16cid:durableId="95113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AB7"/>
    <w:rsid w:val="00011092"/>
    <w:rsid w:val="000449F8"/>
    <w:rsid w:val="00046E86"/>
    <w:rsid w:val="000616B9"/>
    <w:rsid w:val="00072249"/>
    <w:rsid w:val="00075FDD"/>
    <w:rsid w:val="000A0902"/>
    <w:rsid w:val="000A0DF9"/>
    <w:rsid w:val="000A5F65"/>
    <w:rsid w:val="000B0FBF"/>
    <w:rsid w:val="000F331B"/>
    <w:rsid w:val="00103828"/>
    <w:rsid w:val="00103861"/>
    <w:rsid w:val="00103B4F"/>
    <w:rsid w:val="0011328B"/>
    <w:rsid w:val="00141CDA"/>
    <w:rsid w:val="00142624"/>
    <w:rsid w:val="00150031"/>
    <w:rsid w:val="00153275"/>
    <w:rsid w:val="00156321"/>
    <w:rsid w:val="001C48CB"/>
    <w:rsid w:val="001C5B7D"/>
    <w:rsid w:val="001D00E4"/>
    <w:rsid w:val="001F2CA4"/>
    <w:rsid w:val="001F38F0"/>
    <w:rsid w:val="00233335"/>
    <w:rsid w:val="0024311E"/>
    <w:rsid w:val="0029094F"/>
    <w:rsid w:val="002C3842"/>
    <w:rsid w:val="002D745F"/>
    <w:rsid w:val="00310AB7"/>
    <w:rsid w:val="00320B29"/>
    <w:rsid w:val="00320FEC"/>
    <w:rsid w:val="00324DE8"/>
    <w:rsid w:val="00325392"/>
    <w:rsid w:val="00336CD7"/>
    <w:rsid w:val="00353D13"/>
    <w:rsid w:val="00360A9A"/>
    <w:rsid w:val="0038132B"/>
    <w:rsid w:val="0038279E"/>
    <w:rsid w:val="003830C5"/>
    <w:rsid w:val="003A2C39"/>
    <w:rsid w:val="003A5129"/>
    <w:rsid w:val="003C7325"/>
    <w:rsid w:val="003E1CC2"/>
    <w:rsid w:val="004008E4"/>
    <w:rsid w:val="00433070"/>
    <w:rsid w:val="004418E0"/>
    <w:rsid w:val="00445B58"/>
    <w:rsid w:val="00451615"/>
    <w:rsid w:val="00456EBE"/>
    <w:rsid w:val="004A3836"/>
    <w:rsid w:val="004B7D92"/>
    <w:rsid w:val="004D3F6A"/>
    <w:rsid w:val="004E0668"/>
    <w:rsid w:val="004E1466"/>
    <w:rsid w:val="0051690B"/>
    <w:rsid w:val="00554432"/>
    <w:rsid w:val="00556D76"/>
    <w:rsid w:val="005752DF"/>
    <w:rsid w:val="00580ACA"/>
    <w:rsid w:val="0058602C"/>
    <w:rsid w:val="005A56F6"/>
    <w:rsid w:val="005C49DC"/>
    <w:rsid w:val="005C506A"/>
    <w:rsid w:val="005C6DF5"/>
    <w:rsid w:val="005C798A"/>
    <w:rsid w:val="005F7E13"/>
    <w:rsid w:val="00622A5A"/>
    <w:rsid w:val="00637152"/>
    <w:rsid w:val="00647106"/>
    <w:rsid w:val="00651FEC"/>
    <w:rsid w:val="006523B7"/>
    <w:rsid w:val="00654B30"/>
    <w:rsid w:val="006550D7"/>
    <w:rsid w:val="00673A14"/>
    <w:rsid w:val="006926D0"/>
    <w:rsid w:val="006A312D"/>
    <w:rsid w:val="006A795C"/>
    <w:rsid w:val="006C11D8"/>
    <w:rsid w:val="006C25B4"/>
    <w:rsid w:val="006C261B"/>
    <w:rsid w:val="006C2AF0"/>
    <w:rsid w:val="006C5294"/>
    <w:rsid w:val="0074083A"/>
    <w:rsid w:val="00752B4B"/>
    <w:rsid w:val="00753BB5"/>
    <w:rsid w:val="00770CAB"/>
    <w:rsid w:val="00775535"/>
    <w:rsid w:val="00787B9E"/>
    <w:rsid w:val="007C3BB9"/>
    <w:rsid w:val="007E1968"/>
    <w:rsid w:val="007F6990"/>
    <w:rsid w:val="008075AE"/>
    <w:rsid w:val="008118D8"/>
    <w:rsid w:val="0088763E"/>
    <w:rsid w:val="00887AA8"/>
    <w:rsid w:val="008944E0"/>
    <w:rsid w:val="008A2DB2"/>
    <w:rsid w:val="008B4215"/>
    <w:rsid w:val="008F4F6D"/>
    <w:rsid w:val="008F73BC"/>
    <w:rsid w:val="00907F3F"/>
    <w:rsid w:val="00921420"/>
    <w:rsid w:val="00926146"/>
    <w:rsid w:val="009278F7"/>
    <w:rsid w:val="0093478F"/>
    <w:rsid w:val="00935362"/>
    <w:rsid w:val="00944EDD"/>
    <w:rsid w:val="0095021B"/>
    <w:rsid w:val="0095329F"/>
    <w:rsid w:val="0095473B"/>
    <w:rsid w:val="009A07D4"/>
    <w:rsid w:val="009D76B2"/>
    <w:rsid w:val="009E7D02"/>
    <w:rsid w:val="00A03BD5"/>
    <w:rsid w:val="00A470BA"/>
    <w:rsid w:val="00A50BFC"/>
    <w:rsid w:val="00AA0BB2"/>
    <w:rsid w:val="00AB6CFC"/>
    <w:rsid w:val="00AD691D"/>
    <w:rsid w:val="00AE1D76"/>
    <w:rsid w:val="00AF41B1"/>
    <w:rsid w:val="00B04ADF"/>
    <w:rsid w:val="00B36D9A"/>
    <w:rsid w:val="00B53465"/>
    <w:rsid w:val="00B54503"/>
    <w:rsid w:val="00B62C9B"/>
    <w:rsid w:val="00B64000"/>
    <w:rsid w:val="00B77A66"/>
    <w:rsid w:val="00B873CA"/>
    <w:rsid w:val="00BA596F"/>
    <w:rsid w:val="00BA67E2"/>
    <w:rsid w:val="00BB682D"/>
    <w:rsid w:val="00BB7E5B"/>
    <w:rsid w:val="00BC3962"/>
    <w:rsid w:val="00BD1392"/>
    <w:rsid w:val="00BD1C69"/>
    <w:rsid w:val="00BD37B0"/>
    <w:rsid w:val="00BE5BD6"/>
    <w:rsid w:val="00BF4F1F"/>
    <w:rsid w:val="00C108E4"/>
    <w:rsid w:val="00C14251"/>
    <w:rsid w:val="00C14A4D"/>
    <w:rsid w:val="00C23B8F"/>
    <w:rsid w:val="00C30E75"/>
    <w:rsid w:val="00C41863"/>
    <w:rsid w:val="00C42982"/>
    <w:rsid w:val="00C44D4C"/>
    <w:rsid w:val="00C956CC"/>
    <w:rsid w:val="00CD3760"/>
    <w:rsid w:val="00CE533A"/>
    <w:rsid w:val="00D17AAB"/>
    <w:rsid w:val="00D3057C"/>
    <w:rsid w:val="00D71361"/>
    <w:rsid w:val="00D76834"/>
    <w:rsid w:val="00D83889"/>
    <w:rsid w:val="00D9194E"/>
    <w:rsid w:val="00DA1750"/>
    <w:rsid w:val="00DA7736"/>
    <w:rsid w:val="00DF7C8F"/>
    <w:rsid w:val="00E10A12"/>
    <w:rsid w:val="00E12B35"/>
    <w:rsid w:val="00E14FCF"/>
    <w:rsid w:val="00E15EF5"/>
    <w:rsid w:val="00E63C1A"/>
    <w:rsid w:val="00E6424C"/>
    <w:rsid w:val="00E661AD"/>
    <w:rsid w:val="00E87318"/>
    <w:rsid w:val="00EC0288"/>
    <w:rsid w:val="00ED1C47"/>
    <w:rsid w:val="00ED4BC9"/>
    <w:rsid w:val="00F37E7C"/>
    <w:rsid w:val="00F43D9D"/>
    <w:rsid w:val="00F5600D"/>
    <w:rsid w:val="00F6112C"/>
    <w:rsid w:val="00F66C85"/>
    <w:rsid w:val="00F768B6"/>
    <w:rsid w:val="00F96901"/>
    <w:rsid w:val="00FC36C3"/>
    <w:rsid w:val="00FE3FA6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8D1A881"/>
  <w15:chartTrackingRefBased/>
  <w15:docId w15:val="{F49CAE28-D21F-7D4A-AFDD-60F8C346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RO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0BA"/>
    <w:pPr>
      <w:spacing w:after="0"/>
    </w:pPr>
    <w:rPr>
      <w:rFonts w:ascii="Times New Roman" w:hAnsi="Times New Roman"/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qFormat/>
    <w:rsid w:val="000B0FB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B0FB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0FBF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0AB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0AB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0AB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0AB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0AB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0AB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FBF"/>
    <w:rPr>
      <w:rFonts w:ascii="Times New Roman" w:eastAsia="Times New Roman" w:hAnsi="Times New Roman"/>
      <w:b/>
      <w:bCs/>
      <w:kern w:val="36"/>
      <w:sz w:val="48"/>
      <w:szCs w:val="4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B0FBF"/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B0FBF"/>
    <w:rPr>
      <w:rFonts w:ascii="Calibri Light" w:eastAsia="Times New Roman" w:hAnsi="Calibri Light"/>
      <w:b/>
      <w:bCs/>
      <w:sz w:val="26"/>
      <w:szCs w:val="26"/>
      <w:lang w:val="ro-RO"/>
    </w:rPr>
  </w:style>
  <w:style w:type="character" w:styleId="Strong">
    <w:name w:val="Strong"/>
    <w:uiPriority w:val="22"/>
    <w:qFormat/>
    <w:rsid w:val="000B0FBF"/>
    <w:rPr>
      <w:b/>
      <w:bCs/>
    </w:rPr>
  </w:style>
  <w:style w:type="character" w:styleId="Emphasis">
    <w:name w:val="Emphasis"/>
    <w:basedOn w:val="DefaultParagraphFont"/>
    <w:uiPriority w:val="20"/>
    <w:qFormat/>
    <w:rsid w:val="000B0FBF"/>
    <w:rPr>
      <w:i/>
      <w:iCs/>
    </w:rPr>
  </w:style>
  <w:style w:type="paragraph" w:styleId="ListParagraph">
    <w:name w:val="List Paragraph"/>
    <w:basedOn w:val="Normal"/>
    <w:uiPriority w:val="34"/>
    <w:qFormat/>
    <w:rsid w:val="000B0FBF"/>
    <w:pPr>
      <w:ind w:left="720"/>
      <w:contextualSpacing/>
    </w:pPr>
    <w:rPr>
      <w:rFonts w:eastAsia="Times New Roman"/>
    </w:rPr>
  </w:style>
  <w:style w:type="paragraph" w:customStyle="1" w:styleId="Default">
    <w:name w:val="Default"/>
    <w:basedOn w:val="Normal"/>
    <w:next w:val="Normal"/>
    <w:qFormat/>
    <w:rsid w:val="00921420"/>
    <w:pPr>
      <w:autoSpaceDE w:val="0"/>
      <w:autoSpaceDN w:val="0"/>
      <w:adjustRightInd w:val="0"/>
      <w:spacing w:line="240" w:lineRule="auto"/>
    </w:pPr>
    <w:rPr>
      <w:rFonts w:asciiTheme="minorHAnsi" w:eastAsia="Times New Roman" w:hAnsiTheme="minorHAnsi" w:cs="Myriad Pro"/>
      <w:color w:val="000000"/>
      <w:lang w:eastAsia="ro-RO"/>
    </w:rPr>
  </w:style>
  <w:style w:type="paragraph" w:styleId="Header">
    <w:name w:val="header"/>
    <w:basedOn w:val="Normal"/>
    <w:link w:val="HeaderChar"/>
    <w:autoRedefine/>
    <w:uiPriority w:val="99"/>
    <w:unhideWhenUsed/>
    <w:qFormat/>
    <w:rsid w:val="00556D76"/>
    <w:pPr>
      <w:tabs>
        <w:tab w:val="center" w:pos="4513"/>
        <w:tab w:val="right" w:pos="8828"/>
        <w:tab w:val="right" w:pos="9026"/>
      </w:tabs>
      <w:spacing w:before="240" w:after="120" w:line="360" w:lineRule="auto"/>
      <w:ind w:firstLine="567"/>
    </w:pPr>
    <w:rPr>
      <w:rFonts w:asciiTheme="majorHAnsi" w:eastAsiaTheme="minorHAnsi" w:hAnsiTheme="majorHAnsi" w:cstheme="minorBidi"/>
      <w:caps/>
      <w:color w:val="2E74B5" w:themeColor="accent1" w:themeShade="BF"/>
      <w:sz w:val="28"/>
      <w:szCs w:val="22"/>
      <w:u w:val="single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56D76"/>
    <w:rPr>
      <w:rFonts w:asciiTheme="majorHAnsi" w:eastAsiaTheme="minorHAnsi" w:hAnsiTheme="majorHAnsi" w:cstheme="minorBidi"/>
      <w:caps/>
      <w:color w:val="2E74B5" w:themeColor="accent1" w:themeShade="BF"/>
      <w:sz w:val="28"/>
      <w:szCs w:val="22"/>
      <w:u w:val="single"/>
      <w:lang w:val="en-GB"/>
    </w:rPr>
  </w:style>
  <w:style w:type="paragraph" w:customStyle="1" w:styleId="Style8">
    <w:name w:val="Style8"/>
    <w:basedOn w:val="Heading3"/>
    <w:autoRedefine/>
    <w:qFormat/>
    <w:rsid w:val="00921420"/>
    <w:pPr>
      <w:spacing w:line="360" w:lineRule="auto"/>
      <w:ind w:firstLine="567"/>
    </w:pPr>
    <w:rPr>
      <w:rFonts w:cstheme="minorBidi"/>
      <w:sz w:val="24"/>
    </w:rPr>
  </w:style>
  <w:style w:type="paragraph" w:styleId="TOC1">
    <w:name w:val="toc 1"/>
    <w:basedOn w:val="TOCHeading"/>
    <w:next w:val="Normal"/>
    <w:autoRedefine/>
    <w:uiPriority w:val="39"/>
    <w:unhideWhenUsed/>
    <w:qFormat/>
    <w:rsid w:val="00921420"/>
    <w:pPr>
      <w:keepNext w:val="0"/>
      <w:keepLines w:val="0"/>
      <w:spacing w:before="120" w:after="120" w:line="240" w:lineRule="auto"/>
      <w:ind w:firstLine="567"/>
    </w:pPr>
    <w:rPr>
      <w:rFonts w:asciiTheme="minorHAnsi" w:eastAsiaTheme="minorHAnsi" w:hAnsiTheme="minorHAnsi" w:cstheme="minorHAnsi"/>
      <w:b/>
      <w:bCs/>
      <w:caps/>
      <w:color w:val="4472C4" w:themeColor="accent5"/>
      <w:sz w:val="24"/>
      <w:szCs w:val="20"/>
      <w:lang w:val="ro-RO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1420"/>
    <w:pPr>
      <w:keepNext/>
      <w:keepLines/>
      <w:spacing w:before="240" w:beforeAutospacing="0" w:after="0" w:afterAutospacing="0" w:line="480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RO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21420"/>
    <w:pPr>
      <w:spacing w:line="240" w:lineRule="auto"/>
      <w:ind w:left="480" w:firstLine="567"/>
    </w:pPr>
    <w:rPr>
      <w:rFonts w:asciiTheme="minorHAnsi" w:eastAsiaTheme="minorHAnsi" w:hAnsiTheme="minorHAnsi" w:cstheme="minorHAnsi"/>
      <w:i/>
      <w:iCs/>
      <w:color w:val="4472C4" w:themeColor="accent5"/>
      <w:szCs w:val="20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21420"/>
    <w:pPr>
      <w:spacing w:line="240" w:lineRule="auto"/>
      <w:ind w:left="240" w:firstLine="567"/>
    </w:pPr>
    <w:rPr>
      <w:rFonts w:asciiTheme="minorHAnsi" w:eastAsiaTheme="minorHAnsi" w:hAnsiTheme="minorHAnsi" w:cstheme="minorHAnsi"/>
      <w:smallCaps/>
      <w:color w:val="4472C4" w:themeColor="accent5"/>
      <w:szCs w:val="20"/>
      <w:lang w:eastAsia="en-US"/>
    </w:rPr>
  </w:style>
  <w:style w:type="paragraph" w:customStyle="1" w:styleId="bibliografie1">
    <w:name w:val="bibliografie1"/>
    <w:basedOn w:val="Bibliography"/>
    <w:next w:val="Bibliography"/>
    <w:qFormat/>
    <w:rsid w:val="00921420"/>
    <w:pPr>
      <w:spacing w:line="240" w:lineRule="auto"/>
      <w:ind w:left="720" w:hanging="720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921420"/>
  </w:style>
  <w:style w:type="paragraph" w:customStyle="1" w:styleId="Style4">
    <w:name w:val="Style4"/>
    <w:basedOn w:val="Heading1"/>
    <w:autoRedefine/>
    <w:qFormat/>
    <w:rsid w:val="00921420"/>
    <w:pPr>
      <w:ind w:firstLine="567"/>
      <w:jc w:val="both"/>
    </w:pPr>
    <w:rPr>
      <w:rFonts w:ascii="Cambria" w:hAnsi="Cambria" w:cstheme="minorBidi"/>
      <w:caps/>
      <w:color w:val="0070C0"/>
      <w:sz w:val="22"/>
      <w:szCs w:val="22"/>
      <w:u w:val="single"/>
      <w:lang w:eastAsia="en-US"/>
    </w:rPr>
  </w:style>
  <w:style w:type="paragraph" w:customStyle="1" w:styleId="templateprimariatgri">
    <w:name w:val="template _primariat gri"/>
    <w:basedOn w:val="BodyText"/>
    <w:qFormat/>
    <w:rsid w:val="00153275"/>
    <w:pPr>
      <w:numPr>
        <w:numId w:val="2"/>
      </w:numPr>
    </w:pPr>
    <w:rPr>
      <w:color w:val="2F5496" w:themeColor="accent5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1532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53275"/>
    <w:rPr>
      <w:rFonts w:ascii="Times New Roman" w:hAnsi="Times New Roman"/>
      <w:sz w:val="24"/>
      <w:szCs w:val="24"/>
      <w:lang w:val="ro-RO" w:eastAsia="en-GB"/>
    </w:rPr>
  </w:style>
  <w:style w:type="paragraph" w:customStyle="1" w:styleId="DefaultTimesnewroman">
    <w:name w:val="DefaultTimesnewroman"/>
    <w:basedOn w:val="Normal"/>
    <w:next w:val="Normal"/>
    <w:qFormat/>
    <w:rsid w:val="00153275"/>
    <w:pPr>
      <w:autoSpaceDE w:val="0"/>
      <w:autoSpaceDN w:val="0"/>
      <w:adjustRightInd w:val="0"/>
      <w:spacing w:line="240" w:lineRule="auto"/>
    </w:pPr>
    <w:rPr>
      <w:rFonts w:eastAsia="Times New Roman" w:cs="Myriad Pro"/>
      <w:color w:val="000000"/>
      <w:lang w:eastAsia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0AB7"/>
    <w:rPr>
      <w:rFonts w:asciiTheme="minorHAnsi" w:eastAsiaTheme="majorEastAsia" w:hAnsiTheme="minorHAnsi" w:cstheme="majorBidi"/>
      <w:i/>
      <w:iCs/>
      <w:color w:val="2E74B5" w:themeColor="accent1" w:themeShade="BF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0AB7"/>
    <w:rPr>
      <w:rFonts w:asciiTheme="minorHAnsi" w:eastAsiaTheme="majorEastAsia" w:hAnsiTheme="minorHAnsi" w:cstheme="majorBidi"/>
      <w:color w:val="2E74B5" w:themeColor="accent1" w:themeShade="BF"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0AB7"/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0AB7"/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0AB7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0AB7"/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310A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0AB7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0AB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0AB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GB"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310A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0AB7"/>
    <w:rPr>
      <w:rFonts w:ascii="Times New Roman" w:hAnsi="Times New Roman"/>
      <w:i/>
      <w:iCs/>
      <w:color w:val="404040" w:themeColor="text1" w:themeTint="BF"/>
      <w:sz w:val="24"/>
      <w:szCs w:val="24"/>
      <w:lang w:val="en-GB" w:eastAsia="en-GB"/>
    </w:rPr>
  </w:style>
  <w:style w:type="character" w:styleId="IntenseEmphasis">
    <w:name w:val="Intense Emphasis"/>
    <w:basedOn w:val="DefaultParagraphFont"/>
    <w:uiPriority w:val="21"/>
    <w:qFormat/>
    <w:rsid w:val="00310AB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0AB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0AB7"/>
    <w:rPr>
      <w:rFonts w:ascii="Times New Roman" w:hAnsi="Times New Roman"/>
      <w:i/>
      <w:iCs/>
      <w:color w:val="2E74B5" w:themeColor="accent1" w:themeShade="BF"/>
      <w:sz w:val="24"/>
      <w:szCs w:val="24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310AB7"/>
    <w:rPr>
      <w:b/>
      <w:bCs/>
      <w:smallCaps/>
      <w:color w:val="2E74B5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56D7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D76"/>
    <w:rPr>
      <w:rFonts w:ascii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9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Magdalena Cornea</dc:creator>
  <cp:keywords/>
  <dc:description/>
  <cp:lastModifiedBy>Amalia Magdalena Cornea</cp:lastModifiedBy>
  <cp:revision>1</cp:revision>
  <dcterms:created xsi:type="dcterms:W3CDTF">2024-01-21T16:46:00Z</dcterms:created>
  <dcterms:modified xsi:type="dcterms:W3CDTF">2024-01-21T17:08:00Z</dcterms:modified>
</cp:coreProperties>
</file>