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</w:p>
    <w:p>
      <w:pPr>
        <w:pStyle w:val="Body A"/>
      </w:pPr>
    </w:p>
    <w:p>
      <w:pPr>
        <w:pStyle w:val="Body A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pt-PT"/>
        </w:rPr>
        <w:t xml:space="preserve">Lista </w:t>
      </w:r>
      <w:r>
        <w:rPr>
          <w:b w:val="1"/>
          <w:bCs w:val="1"/>
          <w:sz w:val="28"/>
          <w:szCs w:val="28"/>
          <w:rtl w:val="0"/>
          <w:lang w:val="it-IT"/>
        </w:rPr>
        <w:t>complet</w:t>
      </w:r>
      <w:r>
        <w:rPr>
          <w:b w:val="1"/>
          <w:bCs w:val="1"/>
          <w:sz w:val="28"/>
          <w:szCs w:val="28"/>
          <w:rtl w:val="0"/>
        </w:rPr>
        <w:t xml:space="preserve">ă </w:t>
      </w:r>
      <w:r>
        <w:rPr>
          <w:b w:val="1"/>
          <w:bCs w:val="1"/>
          <w:sz w:val="28"/>
          <w:szCs w:val="28"/>
          <w:rtl w:val="0"/>
        </w:rPr>
        <w:t xml:space="preserve">a </w:t>
      </w:r>
      <w:r>
        <w:rPr>
          <w:b w:val="1"/>
          <w:bCs w:val="1"/>
          <w:sz w:val="28"/>
          <w:szCs w:val="28"/>
          <w:rtl w:val="0"/>
          <w:lang w:val="pt-PT"/>
        </w:rPr>
        <w:t>publica</w:t>
      </w:r>
      <w:r>
        <w:rPr>
          <w:b w:val="1"/>
          <w:bCs w:val="1"/>
          <w:sz w:val="28"/>
          <w:szCs w:val="28"/>
          <w:rtl w:val="0"/>
        </w:rPr>
        <w:t>ț</w:t>
      </w:r>
      <w:r>
        <w:rPr>
          <w:b w:val="1"/>
          <w:bCs w:val="1"/>
          <w:sz w:val="28"/>
          <w:szCs w:val="28"/>
          <w:rtl w:val="0"/>
        </w:rPr>
        <w:t>iilor</w:t>
      </w:r>
    </w:p>
    <w:p>
      <w:pPr>
        <w:pStyle w:val="Body A"/>
        <w:rPr>
          <w:b w:val="1"/>
          <w:bCs w:val="1"/>
          <w:sz w:val="28"/>
          <w:szCs w:val="28"/>
        </w:rPr>
      </w:pP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Teza de doctorat:</w:t>
      </w:r>
    </w:p>
    <w:p>
      <w:pPr>
        <w:pStyle w:val="Default"/>
        <w:spacing w:before="0" w:line="240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Titlul tezei de doctorat: The Role of</w:t>
      </w:r>
      <w:r>
        <w:rPr>
          <w:rFonts w:ascii="Times New Roman" w:hAnsi="Times New Roman"/>
          <w:rtl w:val="0"/>
          <w:lang w:val="de-DE"/>
        </w:rPr>
        <w:t xml:space="preserve"> WHOLE-BODY MRI </w:t>
      </w:r>
      <w:r>
        <w:rPr>
          <w:rFonts w:ascii="Times New Roman" w:hAnsi="Times New Roman"/>
          <w:rtl w:val="0"/>
          <w:lang w:val="en-US"/>
        </w:rPr>
        <w:t>in Multiple Myeloma diagnosis, staging, prognosis and treatment response assesment</w:t>
      </w:r>
    </w:p>
    <w:p>
      <w:pPr>
        <w:pStyle w:val="Default"/>
        <w:spacing w:before="0" w:line="240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Default"/>
        <w:spacing w:before="0" w:line="240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Ordinul MS Nr.4455/13.06.2023</w:t>
      </w:r>
    </w:p>
    <w:p>
      <w:pPr>
        <w:pStyle w:val="List Paragraph"/>
        <w:spacing w:line="240" w:lineRule="auto"/>
        <w:ind w:left="0" w:firstLine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Publica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en-US"/>
        </w:rPr>
        <w:t>ț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ii ISI in extenso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1.Bota S, Sporea I, Sirli R, Popescu A, Danila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. Intra- and interoperator reproducibility of acoustic radiation force impulse (ARFI) elastography--preliminary results. Ultrasound Med Biol. 2012 Jul;38(7):1103-8. doi: 10.1016/j.ultrasmedbio.2012.02.032. Epub 2012 May 12. PMID: 22579536.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2.</w:t>
      </w:r>
      <w:r>
        <w:rPr>
          <w:rFonts w:ascii="Times New Roman" w:hAnsi="Times New Roman"/>
          <w:sz w:val="24"/>
          <w:szCs w:val="24"/>
          <w:rtl w:val="0"/>
          <w:lang w:val="it-IT"/>
        </w:rPr>
        <w:t>Borsi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E,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Bucur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A,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Oncu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pt-PT"/>
        </w:rPr>
        <w:t>CP,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Oncu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OP,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Cerbu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</w:t>
      </w:r>
      <w:r>
        <w:rPr>
          <w:rFonts w:ascii="Times New Roman" w:hAnsi="Times New Roman"/>
          <w:b w:val="1"/>
          <w:bCs w:val="1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Luca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CT,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H.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First</w:t>
      </w:r>
      <w:r>
        <w:rPr>
          <w:rFonts w:ascii="Times New Roman" w:hAnsi="Times New Roman"/>
          <w:spacing w:val="-2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a-DK"/>
        </w:rPr>
        <w:t>Line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Therapy in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Multiple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Myeloma: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a-DK"/>
        </w:rPr>
        <w:t>VAD</w:t>
      </w:r>
      <w:r>
        <w:rPr>
          <w:rFonts w:ascii="Times New Roman" w:hAnsi="Times New Roman"/>
          <w:spacing w:val="-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vs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Bortezomib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-Dexamethasone.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Rev.</w:t>
      </w:r>
      <w:r>
        <w:rPr>
          <w:rFonts w:ascii="Times New Roman" w:hAnsi="Times New Roman"/>
          <w:spacing w:val="-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pt-PT"/>
        </w:rPr>
        <w:t>Chim.[internet].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2019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Mar;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70(3):1017-</w:t>
      </w:r>
      <w:r>
        <w:rPr>
          <w:rFonts w:ascii="Times New Roman" w:hAnsi="Times New Roman"/>
          <w:spacing w:val="-2"/>
          <w:sz w:val="24"/>
          <w:szCs w:val="24"/>
          <w:rtl w:val="0"/>
        </w:rPr>
        <w:t>1022.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  <w:rtl w:val="0"/>
        </w:rPr>
        <w:t>3.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</w:rPr>
        <w:t>, Ionita I, Borsi EC, Potre O, Potre C, Navolan DB, Blidisel A, Ionita H, Erimescu A, Pop GN, Malita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DC.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Whole-body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di</w:t>
      </w:r>
      <w:r>
        <w:rPr>
          <w:rFonts w:ascii="Arial Unicode MS" w:hAnsi="Arial Unicode MS" w:hint="default"/>
          <w:sz w:val="24"/>
          <w:szCs w:val="24"/>
          <w:rtl w:val="0"/>
        </w:rPr>
        <w:t>ﬀ</w:t>
      </w:r>
      <w:r>
        <w:rPr>
          <w:rFonts w:ascii="Times New Roman" w:hAnsi="Times New Roman"/>
          <w:sz w:val="24"/>
          <w:szCs w:val="24"/>
          <w:rtl w:val="0"/>
          <w:lang w:val="en-US"/>
        </w:rPr>
        <w:t>usion-weighted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magnetic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resonance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and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apparent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di</w:t>
      </w:r>
      <w:r>
        <w:rPr>
          <w:rFonts w:ascii="Arial Unicode MS" w:hAnsi="Arial Unicode MS" w:hint="default"/>
          <w:sz w:val="24"/>
          <w:szCs w:val="24"/>
          <w:rtl w:val="0"/>
        </w:rPr>
        <w:t>ﬀ</w:t>
      </w:r>
      <w:r>
        <w:rPr>
          <w:rFonts w:ascii="Times New Roman" w:hAnsi="Times New Roman"/>
          <w:sz w:val="24"/>
          <w:szCs w:val="24"/>
          <w:rtl w:val="0"/>
          <w:lang w:val="fr-FR"/>
        </w:rPr>
        <w:t>usion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nl-NL"/>
        </w:rPr>
        <w:t>coe</w:t>
      </w:r>
      <w:r>
        <w:rPr>
          <w:rFonts w:ascii="Arial Unicode MS" w:hAnsi="Arial Unicode MS" w:hint="default"/>
          <w:sz w:val="24"/>
          <w:szCs w:val="24"/>
          <w:rtl w:val="0"/>
        </w:rPr>
        <w:t>ﬃ</w:t>
      </w:r>
      <w:r>
        <w:rPr>
          <w:rFonts w:ascii="Times New Roman" w:hAnsi="Times New Roman"/>
          <w:sz w:val="24"/>
          <w:szCs w:val="24"/>
          <w:rtl w:val="0"/>
          <w:lang w:val="en-US"/>
        </w:rPr>
        <w:t>cient values as prognostic factors in multiple myeloma. Exp Ther Med. 2021 Aug;22(2):827.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4.Carabineanu A, Gadea R,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Mocanu A, Navolan D, Malita D, Ceausu R, Saracin c, Cretu O, Blidisel A. MRI Surveillance of Plastic Material Surgical Meshes: Experimental Model - Interim Results. Mater. Plast.[internet]. 2021 Jul;58(3):231-238.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5.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Costachescu,</w:t>
      </w:r>
      <w:r>
        <w:rPr>
          <w:rFonts w:ascii="Times New Roman" w:hAnsi="Times New Roman"/>
          <w:b w:val="1"/>
          <w:bCs w:val="1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H.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The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fr-FR"/>
        </w:rPr>
        <w:t>importance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of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bone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marrow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in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it-IT"/>
        </w:rPr>
        <w:t>ltration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patterns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in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fr-FR"/>
        </w:rPr>
        <w:t>multiple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myeloma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seen on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magnetic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resonance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—</w:t>
      </w:r>
      <w:r>
        <w:rPr>
          <w:rFonts w:ascii="Times New Roman" w:hAnsi="Times New Roman"/>
          <w:sz w:val="24"/>
          <w:szCs w:val="24"/>
          <w:rtl w:val="0"/>
          <w:lang w:val="it-IT"/>
        </w:rPr>
        <w:t>Case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report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and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perspective.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Clin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Case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Rep.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2022;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10:e06452.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6.</w:t>
      </w:r>
      <w:r>
        <w:rPr>
          <w:rFonts w:ascii="Times New Roman" w:hAnsi="Times New Roman"/>
          <w:sz w:val="24"/>
          <w:szCs w:val="24"/>
          <w:rtl w:val="0"/>
          <w:lang w:val="it-IT"/>
        </w:rPr>
        <w:t>Potre C, Borsi E, Potre O, Sam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reag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Cerbu B, Bratosin F, Secosan C, Negrean RA. Assessing Pretransplant and Posttransplant Therapy Response in Multiple Myeloma Patients. Curr Oncol.</w:t>
      </w:r>
      <w:r>
        <w:rPr>
          <w:rFonts w:ascii="Times New Roman" w:hAnsi="Times New Roman"/>
          <w:spacing w:val="9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2022 Nov 8;29(11):8501-8512.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7.Bercean BA, Birhala A, Ardelean PG, Barbulescu I, Benta MM, Rasadean CD,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Avramescu C, Tenescu A, Iarca S, Buburuzan AS, Marcu M, Birsasteanu F. Evidence of a cognitive bias in the quanti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fr-FR"/>
        </w:rPr>
        <w:t>cation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of COVID-19 with CT: an arti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>cial intelligence randomised clinical trial. Sci Rep. 2023 Mar 25;13(1):4887.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8.</w:t>
      </w:r>
      <w:r>
        <w:rPr>
          <w:rFonts w:ascii="Times New Roman" w:hAnsi="Times New Roman"/>
          <w:sz w:val="24"/>
          <w:szCs w:val="24"/>
          <w:rtl w:val="0"/>
          <w:lang w:val="it-IT"/>
        </w:rPr>
        <w:t>Potre C, Borsi E, Potre O, Ionita I, Sam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reag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Secosan C, Lazar S, Ristescu AI. A Systematic Review Assessing the Impact of Vitamin D Levels on Adult Patients with Lymphoid Malignancies. Curr Oncol. 2023 Apr 20;30(4):4351-4364.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9.Isaic A, Motofelea AC,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Pop GN, Totolici B, Popovici D, Diaconescu RG. What Is the Comparative E</w:t>
      </w:r>
      <w:r>
        <w:rPr>
          <w:rFonts w:ascii="Arial Unicode MS" w:hAnsi="Arial Unicode MS" w:hint="default"/>
          <w:sz w:val="24"/>
          <w:szCs w:val="24"/>
          <w:rtl w:val="0"/>
        </w:rPr>
        <w:t>ﬃ</w:t>
      </w:r>
      <w:r>
        <w:rPr>
          <w:rFonts w:ascii="Times New Roman" w:hAnsi="Times New Roman"/>
          <w:sz w:val="24"/>
          <w:szCs w:val="24"/>
          <w:rtl w:val="0"/>
          <w:lang w:val="en-US"/>
        </w:rPr>
        <w:t>cacy of Surgical, Endoscopic, Transanal Resection, and Radiotherapy Modalities in the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Treatment of Rectal Cancer? Healthcare (Basel). 2023 Aug 20;11(16):2347.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10.Diaconescu R, Popovici D, Tarta C, Isaic A,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Totolici B. Pneumorrhachis Secondary to a Locally Advanced Rectal Cancer with Pre-Sacral Abscess-Case Report and Review. Medicina (Kaunas). 2023 Nov 25;59(12):2076.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11.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</w:rPr>
        <w:t>, Motofelea AC, Malita D, Birsasteanu F, Ionita I, Motofelea N, Jura CA, Bacila IF, Bacila M, Motoi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S.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Ruptured</w:t>
      </w:r>
      <w:r>
        <w:rPr>
          <w:rFonts w:ascii="Times New Roman" w:hAnsi="Times New Roman"/>
          <w:spacing w:val="-1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Ovarian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Cystic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Teratoma: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Rare</w:t>
      </w:r>
      <w:r>
        <w:rPr>
          <w:rFonts w:ascii="Times New Roman" w:hAnsi="Times New Roman"/>
          <w:spacing w:val="-1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Diagnosis,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Easily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to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Be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Confused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with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Peritoneal Carcinomatosis.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Medicina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(Kaunas).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2024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Mar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10;60(3):460.</w:t>
      </w:r>
    </w:p>
    <w:p>
      <w:pPr>
        <w:pStyle w:val="Heading"/>
        <w:keepNext w:val="0"/>
        <w:widowControl w:val="0"/>
        <w:spacing w:before="161"/>
        <w:ind w:left="680" w:firstLine="0"/>
        <w:rPr>
          <w:rFonts w:ascii="Tahoma" w:cs="Tahoma" w:hAnsi="Tahoma" w:eastAsia="Tahoma"/>
          <w:sz w:val="22"/>
          <w:szCs w:val="22"/>
          <w:u w:color="000000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outline w:val="0"/>
          <w:color w:val="212121"/>
          <w:sz w:val="34"/>
          <w:szCs w:val="34"/>
          <w:u w:color="212121"/>
          <w:shd w:val="clear" w:color="auto" w:fill="ffffff"/>
          <w14:textFill>
            <w14:solidFill>
              <w14:srgbClr w14:val="212121"/>
            </w14:solidFill>
          </w14:textFill>
        </w:rPr>
      </w:pP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en-US"/>
        </w:rPr>
        <w:t>Publica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en-US"/>
        </w:rPr>
        <w:t>ț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en-US"/>
        </w:rPr>
        <w:t>ii ISI Proceedings</w:t>
      </w:r>
    </w:p>
    <w:p>
      <w:pPr>
        <w:pStyle w:val="Body A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rtl w:val="0"/>
        </w:rPr>
        <w:t>1.</w:t>
      </w:r>
      <w:r>
        <w:rPr>
          <w:rFonts w:ascii="Times New Roman" w:hAnsi="Times New Roman"/>
          <w:sz w:val="24"/>
          <w:szCs w:val="24"/>
          <w:rtl w:val="0"/>
          <w:lang w:val="it-IT"/>
        </w:rPr>
        <w:t xml:space="preserve">A. D. C. Malita, C. Saracin,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it-IT"/>
        </w:rPr>
        <w:t>D. Costachescu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and R. Prejbeanu, "The added value of using Fusion-DWI technique in day to day practice for appreciating placental invasion of the myometrium,"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2017 E-Health and Bioengineering Conference (EHB)</w:t>
      </w:r>
      <w:r>
        <w:rPr>
          <w:rFonts w:ascii="Times New Roman" w:hAnsi="Times New Roman"/>
          <w:sz w:val="24"/>
          <w:szCs w:val="24"/>
          <w:rtl w:val="0"/>
          <w:lang w:val="it-IT"/>
        </w:rPr>
        <w:t>, Sinaia, Romania, 2017, pp. 305-308, doi: 10.1109/EHB.2017.7995422.</w:t>
      </w:r>
    </w:p>
    <w:p>
      <w:pPr>
        <w:pStyle w:val="Body A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2.</w:t>
      </w:r>
      <w:r>
        <w:rPr>
          <w:rFonts w:ascii="Times New Roman" w:hAnsi="Times New Roman"/>
          <w:sz w:val="24"/>
          <w:szCs w:val="24"/>
          <w:rtl w:val="0"/>
        </w:rPr>
        <w:t>B. -A. Bercean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nl-NL"/>
        </w:rPr>
        <w:t>et al</w:t>
      </w:r>
      <w:r>
        <w:rPr>
          <w:rFonts w:ascii="Times New Roman" w:hAnsi="Times New Roman"/>
          <w:sz w:val="24"/>
          <w:szCs w:val="24"/>
          <w:rtl w:val="0"/>
          <w:lang w:val="en-US"/>
        </w:rPr>
        <w:t>., "Revised Set Prediction Matching for Chest X-ray Pathology Detection with Transformers,"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en-US"/>
        </w:rPr>
        <w:t>2023 IEEE International Conference on Systems, Man, and Cybernetics (SMC)</w:t>
      </w:r>
      <w:r>
        <w:rPr>
          <w:rFonts w:ascii="Times New Roman" w:hAnsi="Times New Roman"/>
          <w:sz w:val="24"/>
          <w:szCs w:val="24"/>
          <w:rtl w:val="0"/>
        </w:rPr>
        <w:t>, Honolulu, Oahu, HI, USA, 2023, pp. 5267-5272, doi: 10.1109/SMC53992.2023.10394376.</w:t>
      </w:r>
    </w:p>
    <w:p>
      <w:pPr>
        <w:pStyle w:val="Body A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List Paragraph"/>
        <w:numPr>
          <w:ilvl w:val="0"/>
          <w:numId w:val="2"/>
        </w:numPr>
        <w:bidi w:val="0"/>
        <w:spacing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en-US"/>
        </w:rPr>
        <w:t>Publica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en-US"/>
        </w:rPr>
        <w:t>ț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en-US"/>
        </w:rPr>
        <w:t>ii BDI</w:t>
      </w:r>
    </w:p>
    <w:p>
      <w:pPr>
        <w:pStyle w:val="List Paragraph"/>
        <w:spacing w:line="240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>1.SB Motoi, S Cerbu, F B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en-US"/>
        </w:rPr>
        <w:t>î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>rs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en-US"/>
        </w:rPr>
        <w:t>ã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 xml:space="preserve">steanu, M Mogosanu,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  <w:lang w:val="en-US"/>
        </w:rPr>
        <w:t>D Costachescu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>, M Gafencu, G Doro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en-US"/>
        </w:rPr>
        <w:t>ș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en-US"/>
        </w:rPr>
        <w:t>.</w:t>
      </w:r>
      <w:r>
        <w:rPr>
          <w:rFonts w:ascii="Times New Roman" w:hAnsi="Times New Roman"/>
          <w:sz w:val="24"/>
          <w:szCs w:val="24"/>
          <w:rtl w:val="0"/>
          <w:lang w:val="en-US"/>
        </w:rPr>
        <w:t>MANAGEMENT OF NODULAR HEPATIC LESIONS ON MRI. Cercet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ã</w:t>
      </w:r>
      <w:r>
        <w:rPr>
          <w:rFonts w:ascii="Times New Roman" w:hAnsi="Times New Roman"/>
          <w:sz w:val="24"/>
          <w:szCs w:val="24"/>
          <w:rtl w:val="0"/>
          <w:lang w:val="en-US"/>
        </w:rPr>
        <w:t>ri Experimentale &amp; Medico-Chirurgicale Year XIX Nr.1-2 / 2012 Pag. 49 - 53.</w:t>
      </w:r>
    </w:p>
    <w:p>
      <w:pPr>
        <w:pStyle w:val="List Paragraph"/>
        <w:spacing w:line="240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2.Gafencu M Cerbu Simona SB Motoi, F B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î</w:t>
      </w:r>
      <w:r>
        <w:rPr>
          <w:rFonts w:ascii="Times New Roman" w:hAnsi="Times New Roman"/>
          <w:sz w:val="24"/>
          <w:szCs w:val="24"/>
          <w:rtl w:val="0"/>
          <w:lang w:val="en-US"/>
        </w:rPr>
        <w:t>rs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ă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steanu,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 Mogoseanu Maria. SAFETY CONCERNS REGARDING THE USE OF MODERN LIVER CONTRAST MEDIUM. National Institute of Infectious Diseases" Prof. Dr. Matei Bal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 xml:space="preserve">ş </w:t>
      </w:r>
      <w:r>
        <w:rPr>
          <w:rFonts w:ascii="Times New Roman" w:hAnsi="Times New Roman"/>
          <w:sz w:val="24"/>
          <w:szCs w:val="24"/>
          <w:rtl w:val="0"/>
          <w:lang w:val="en-US"/>
        </w:rPr>
        <w:t>2013, p192.</w:t>
      </w:r>
    </w:p>
    <w:p>
      <w:pPr>
        <w:pStyle w:val="List Paragraph"/>
        <w:spacing w:line="240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List Paragraph"/>
        <w:spacing w:line="240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outline w:val="0"/>
          <w:color w:val="222222"/>
          <w:sz w:val="24"/>
          <w:szCs w:val="24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outline w:val="0"/>
          <w:color w:val="222222"/>
          <w:sz w:val="24"/>
          <w:szCs w:val="24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efault"/>
        <w:spacing w:before="0" w:line="240" w:lineRule="auto"/>
        <w:rPr>
          <w:rFonts w:ascii="Times New Roman" w:cs="Times New Roman" w:hAnsi="Times New Roman" w:eastAsia="Times New Roman"/>
          <w:b w:val="1"/>
          <w:bCs w:val="1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V.</w:t>
      </w: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  </w:t>
      </w: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en-US"/>
          <w14:textFill>
            <w14:solidFill>
              <w14:srgbClr w14:val="222222"/>
            </w14:solidFill>
          </w14:textFill>
        </w:rPr>
        <w:t>Lista de lucr</w:t>
      </w:r>
      <w:r>
        <w:rPr>
          <w:rFonts w:ascii="Times New Roman" w:hAnsi="Times New Roman" w:hint="default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ă</w:t>
      </w: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ri reprezentative Dan Cost</w:t>
      </w:r>
      <w:r>
        <w:rPr>
          <w:rFonts w:ascii="Times New Roman" w:hAnsi="Times New Roman" w:hint="default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ă</w:t>
      </w:r>
      <w:r>
        <w:rPr>
          <w:rFonts w:ascii="Times New Roman" w:hAnsi="Times New Roman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chescu</w:t>
      </w:r>
    </w:p>
    <w:p>
      <w:pPr>
        <w:pStyle w:val="List Paragraph"/>
        <w:spacing w:line="240" w:lineRule="auto"/>
        <w:ind w:left="0" w:firstLine="0"/>
        <w:jc w:val="both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1.Bota S, Sporea I, Sirli R, Popescu A, Danila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. Intra- and interoperator reproducibility of acoustic radiation force impulse (ARFI) elastography--preliminary results. Ultrasound Med Biol. 2012 Jul;38(7):1103-8. doi: 10.1016/j.ultrasmedbio.2012.02.032. Epub 2012 May 12. PMID: 22579536.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2.</w:t>
      </w:r>
      <w:r>
        <w:rPr>
          <w:rFonts w:ascii="Times New Roman" w:hAnsi="Times New Roman"/>
          <w:sz w:val="24"/>
          <w:szCs w:val="24"/>
          <w:rtl w:val="0"/>
          <w:lang w:val="it-IT"/>
        </w:rPr>
        <w:t>Borsi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E,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Bucur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A,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Oncu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pt-PT"/>
        </w:rPr>
        <w:t>CP,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Oncu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OP,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Cerbu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</w:t>
      </w:r>
      <w:r>
        <w:rPr>
          <w:rFonts w:ascii="Times New Roman" w:hAnsi="Times New Roman"/>
          <w:b w:val="1"/>
          <w:bCs w:val="1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Luca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CT,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H.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First</w:t>
      </w:r>
      <w:r>
        <w:rPr>
          <w:rFonts w:ascii="Times New Roman" w:hAnsi="Times New Roman"/>
          <w:spacing w:val="-2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a-DK"/>
        </w:rPr>
        <w:t>Line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Therapy in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Multiple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Myeloma: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a-DK"/>
        </w:rPr>
        <w:t>VAD</w:t>
      </w:r>
      <w:r>
        <w:rPr>
          <w:rFonts w:ascii="Times New Roman" w:hAnsi="Times New Roman"/>
          <w:spacing w:val="-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vs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Bortezomib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-Dexamethasone.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Rev.</w:t>
      </w:r>
      <w:r>
        <w:rPr>
          <w:rFonts w:ascii="Times New Roman" w:hAnsi="Times New Roman"/>
          <w:spacing w:val="-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pt-PT"/>
        </w:rPr>
        <w:t>Chim.[internet].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2019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Mar;</w:t>
      </w:r>
      <w:r>
        <w:rPr>
          <w:rFonts w:ascii="Times New Roman" w:hAnsi="Times New Roman"/>
          <w:spacing w:val="-7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70(3):1017-</w:t>
      </w:r>
      <w:r>
        <w:rPr>
          <w:rFonts w:ascii="Times New Roman" w:hAnsi="Times New Roman"/>
          <w:spacing w:val="-2"/>
          <w:sz w:val="24"/>
          <w:szCs w:val="24"/>
          <w:rtl w:val="0"/>
        </w:rPr>
        <w:t>1022.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  <w:rtl w:val="0"/>
        </w:rPr>
        <w:t>3.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</w:rPr>
        <w:t>, Ionita I, Borsi EC, Potre O, Potre C, Navolan DB, Blidisel A, Ionita H, Erimescu A, Pop GN, Malita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DC.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Whole-body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di</w:t>
      </w:r>
      <w:r>
        <w:rPr>
          <w:rFonts w:ascii="Arial Unicode MS" w:hAnsi="Arial Unicode MS" w:hint="default"/>
          <w:sz w:val="24"/>
          <w:szCs w:val="24"/>
          <w:rtl w:val="0"/>
        </w:rPr>
        <w:t>ﬀ</w:t>
      </w:r>
      <w:r>
        <w:rPr>
          <w:rFonts w:ascii="Times New Roman" w:hAnsi="Times New Roman"/>
          <w:sz w:val="24"/>
          <w:szCs w:val="24"/>
          <w:rtl w:val="0"/>
          <w:lang w:val="en-US"/>
        </w:rPr>
        <w:t>usion-weighted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magnetic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resonance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and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apparent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di</w:t>
      </w:r>
      <w:r>
        <w:rPr>
          <w:rFonts w:ascii="Arial Unicode MS" w:hAnsi="Arial Unicode MS" w:hint="default"/>
          <w:sz w:val="24"/>
          <w:szCs w:val="24"/>
          <w:rtl w:val="0"/>
        </w:rPr>
        <w:t>ﬀ</w:t>
      </w:r>
      <w:r>
        <w:rPr>
          <w:rFonts w:ascii="Times New Roman" w:hAnsi="Times New Roman"/>
          <w:sz w:val="24"/>
          <w:szCs w:val="24"/>
          <w:rtl w:val="0"/>
          <w:lang w:val="fr-FR"/>
        </w:rPr>
        <w:t>usion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nl-NL"/>
        </w:rPr>
        <w:t>coe</w:t>
      </w:r>
      <w:r>
        <w:rPr>
          <w:rFonts w:ascii="Arial Unicode MS" w:hAnsi="Arial Unicode MS" w:hint="default"/>
          <w:sz w:val="24"/>
          <w:szCs w:val="24"/>
          <w:rtl w:val="0"/>
        </w:rPr>
        <w:t>ﬃ</w:t>
      </w:r>
      <w:r>
        <w:rPr>
          <w:rFonts w:ascii="Times New Roman" w:hAnsi="Times New Roman"/>
          <w:sz w:val="24"/>
          <w:szCs w:val="24"/>
          <w:rtl w:val="0"/>
          <w:lang w:val="en-US"/>
        </w:rPr>
        <w:t>cient values as prognostic factors in multiple myeloma. Exp Ther Med. 2021 Aug;22(2):827.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4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Costachescu,</w:t>
      </w:r>
      <w:r>
        <w:rPr>
          <w:rFonts w:ascii="Times New Roman" w:hAnsi="Times New Roman"/>
          <w:b w:val="1"/>
          <w:bCs w:val="1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D</w:t>
      </w:r>
      <w:r>
        <w:rPr>
          <w:rFonts w:ascii="Times New Roman" w:hAnsi="Times New Roman"/>
          <w:sz w:val="24"/>
          <w:szCs w:val="24"/>
          <w:rtl w:val="0"/>
        </w:rPr>
        <w:t>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Ionita,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H.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The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fr-FR"/>
        </w:rPr>
        <w:t>importance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of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bone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marrow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in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it-IT"/>
        </w:rPr>
        <w:t>ltration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patterns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in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fr-FR"/>
        </w:rPr>
        <w:t>multiple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myeloma</w:t>
      </w:r>
      <w:r>
        <w:rPr>
          <w:rFonts w:ascii="Times New Roman" w:hAnsi="Times New Roman"/>
          <w:spacing w:val="-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seen on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magnetic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resonance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 w:hint="default"/>
          <w:sz w:val="24"/>
          <w:szCs w:val="24"/>
          <w:rtl w:val="0"/>
          <w:lang w:val="en-US"/>
        </w:rPr>
        <w:t>—</w:t>
      </w:r>
      <w:r>
        <w:rPr>
          <w:rFonts w:ascii="Times New Roman" w:hAnsi="Times New Roman"/>
          <w:sz w:val="24"/>
          <w:szCs w:val="24"/>
          <w:rtl w:val="0"/>
          <w:lang w:val="it-IT"/>
        </w:rPr>
        <w:t>Case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report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and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imaging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perspective.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Clin</w:t>
      </w:r>
      <w:r>
        <w:rPr>
          <w:rFonts w:ascii="Times New Roman" w:hAnsi="Times New Roman"/>
          <w:spacing w:val="-1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Case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Rep.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2022;</w:t>
      </w:r>
      <w:r>
        <w:rPr>
          <w:rFonts w:ascii="Times New Roman" w:hAnsi="Times New Roman"/>
          <w:spacing w:val="-1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10:e06452.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5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/>
          <w:sz w:val="24"/>
          <w:szCs w:val="24"/>
          <w:rtl w:val="0"/>
          <w:lang w:val="it-IT"/>
        </w:rPr>
        <w:t>Potre C, Borsi E, Potre O, Sam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reag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Cerbu B, Bratosin F, Secosan C, Negrean RA. Assessing Pretransplant and Posttransplant Therapy Response in Multiple Myeloma Patients. Curr Oncol.</w:t>
      </w:r>
      <w:r>
        <w:rPr>
          <w:rFonts w:ascii="Times New Roman" w:hAnsi="Times New Roman"/>
          <w:spacing w:val="96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2022 Nov 8;29(11):8501-8512.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6</w:t>
      </w:r>
      <w:r>
        <w:rPr>
          <w:rFonts w:ascii="Times New Roman" w:hAnsi="Times New Roman"/>
          <w:sz w:val="24"/>
          <w:szCs w:val="24"/>
          <w:rtl w:val="0"/>
        </w:rPr>
        <w:t xml:space="preserve">.Bercean BA, Birhala A, Ardelean PG, Barbulescu I, Benta MM, Rasadean CD,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Avramescu C, Tenescu A, Iarca S, Buburuzan AS, Marcu M, Birsasteanu F. Evidence of a cognitive bias in the quanti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fr-FR"/>
        </w:rPr>
        <w:t>cation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of COVID-19 with CT: an arti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>cial intelligence randomised clinical trial. Sci Rep. 2023 Mar 25;13(1):4887.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7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/>
          <w:sz w:val="24"/>
          <w:szCs w:val="24"/>
          <w:rtl w:val="0"/>
          <w:lang w:val="it-IT"/>
        </w:rPr>
        <w:t>Potre C, Borsi E, Potre O, Ionita I, Sam</w:t>
      </w:r>
      <w:r>
        <w:rPr>
          <w:rFonts w:ascii="Courier New" w:hAnsi="Courier New" w:hint="default"/>
          <w:sz w:val="24"/>
          <w:szCs w:val="24"/>
          <w:rtl w:val="0"/>
        </w:rPr>
        <w:t>ﬁ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reag M,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Secosan C, Lazar S, Ristescu AI. A Systematic Review Assessing the Impact of Vitamin D Levels on Adult Patients with Lymphoid Malignancies. Curr Oncol. 2023 Apr 20;30(4):4351-4364.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8</w:t>
      </w:r>
      <w:r>
        <w:rPr>
          <w:rFonts w:ascii="Times New Roman" w:hAnsi="Times New Roman"/>
          <w:sz w:val="24"/>
          <w:szCs w:val="24"/>
          <w:rtl w:val="0"/>
        </w:rPr>
        <w:t xml:space="preserve">.Isaic A, Motofelea AC,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Pop GN, Totolici B, Popovici D, Diaconescu RG. What Is the Comparative E</w:t>
      </w:r>
      <w:r>
        <w:rPr>
          <w:rFonts w:ascii="Arial Unicode MS" w:hAnsi="Arial Unicode MS" w:hint="default"/>
          <w:sz w:val="24"/>
          <w:szCs w:val="24"/>
          <w:rtl w:val="0"/>
        </w:rPr>
        <w:t>ﬃ</w:t>
      </w:r>
      <w:r>
        <w:rPr>
          <w:rFonts w:ascii="Times New Roman" w:hAnsi="Times New Roman"/>
          <w:sz w:val="24"/>
          <w:szCs w:val="24"/>
          <w:rtl w:val="0"/>
          <w:lang w:val="en-US"/>
        </w:rPr>
        <w:t>cacy of Surgical, Endoscopic, Transanal Resection, and Radiotherapy Modalities in the</w:t>
      </w:r>
      <w:r>
        <w:rPr>
          <w:rFonts w:ascii="Times New Roman" w:hAnsi="Times New Roman"/>
          <w:spacing w:val="48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Treatment of Rectal Cancer? Healthcare (Basel). 2023 Aug 20;11(16):2347.</w:t>
      </w:r>
    </w:p>
    <w:p>
      <w:pPr>
        <w:pStyle w:val="Body A"/>
        <w:spacing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9</w:t>
      </w:r>
      <w:r>
        <w:rPr>
          <w:rFonts w:ascii="Times New Roman" w:hAnsi="Times New Roman"/>
          <w:sz w:val="24"/>
          <w:szCs w:val="24"/>
          <w:rtl w:val="0"/>
        </w:rPr>
        <w:t xml:space="preserve">.Diaconescu R, Popovici D, Tarta C, Isaic A,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  <w:lang w:val="en-US"/>
        </w:rPr>
        <w:t>, Totolici B. Pneumorrhachis Secondary to a Locally Advanced Rectal Cancer with Pre-Sacral Abscess-Case Report and Review. Medicina (Kaunas). 2023 Nov 25;59(12):2076.</w:t>
      </w:r>
    </w:p>
    <w:p>
      <w:pPr>
        <w:pStyle w:val="Body A"/>
        <w:spacing w:line="240" w:lineRule="auto"/>
        <w:jc w:val="both"/>
      </w:pPr>
      <w:r>
        <w:rPr>
          <w:rFonts w:ascii="Times New Roman" w:hAnsi="Times New Roman"/>
          <w:sz w:val="24"/>
          <w:szCs w:val="24"/>
          <w:rtl w:val="0"/>
        </w:rPr>
        <w:t>1</w:t>
      </w:r>
      <w:r>
        <w:rPr>
          <w:rFonts w:ascii="Times New Roman" w:hAnsi="Times New Roman"/>
          <w:sz w:val="24"/>
          <w:szCs w:val="24"/>
          <w:rtl w:val="0"/>
        </w:rPr>
        <w:t>0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Costachescu D</w:t>
      </w:r>
      <w:r>
        <w:rPr>
          <w:rFonts w:ascii="Times New Roman" w:hAnsi="Times New Roman"/>
          <w:sz w:val="24"/>
          <w:szCs w:val="24"/>
          <w:rtl w:val="0"/>
        </w:rPr>
        <w:t>, Motofelea AC, Malita D, Birsasteanu F, Ionita I, Motofelea N, Jura CA, Bacila IF, Bacila M, Motoi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S.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de-DE"/>
        </w:rPr>
        <w:t>Ruptured</w:t>
      </w:r>
      <w:r>
        <w:rPr>
          <w:rFonts w:ascii="Times New Roman" w:hAnsi="Times New Roman"/>
          <w:spacing w:val="-1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Ovarian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Cystic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Teratoma: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A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Rare</w:t>
      </w:r>
      <w:r>
        <w:rPr>
          <w:rFonts w:ascii="Times New Roman" w:hAnsi="Times New Roman"/>
          <w:spacing w:val="-13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Diagnosis,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Easily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to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Be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Confused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with</w:t>
      </w:r>
      <w:r>
        <w:rPr>
          <w:rFonts w:ascii="Times New Roman" w:hAnsi="Times New Roman"/>
          <w:spacing w:val="-14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Peritoneal Carcinomatosis.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it-IT"/>
        </w:rPr>
        <w:t>Medicina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(Kaunas).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en-US"/>
        </w:rPr>
        <w:t>2024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Mar</w:t>
      </w:r>
      <w:r>
        <w:rPr>
          <w:rFonts w:ascii="Times New Roman" w:hAnsi="Times New Roman"/>
          <w:spacing w:val="-15"/>
          <w:sz w:val="24"/>
          <w:szCs w:val="24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10;60(3):460.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ourier New">
    <w:charset w:val="00"/>
    <w:family w:val="roman"/>
    <w:pitch w:val="default"/>
  </w:font>
  <w:font w:name="Tahom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upperRoman"/>
      <w:suff w:val="tab"/>
      <w:lvlText w:val="%1."/>
      <w:lvlJc w:val="left"/>
      <w:pPr>
        <w:ind w:left="108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14" w:hanging="2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74" w:hanging="2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34" w:hanging="2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