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60B14" w14:textId="77777777" w:rsidR="00FA7920" w:rsidRDefault="00FA79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792" w:type="dxa"/>
        <w:tblLayout w:type="fixed"/>
        <w:tblLook w:val="0000" w:firstRow="0" w:lastRow="0" w:firstColumn="0" w:lastColumn="0" w:noHBand="0" w:noVBand="0"/>
      </w:tblPr>
      <w:tblGrid>
        <w:gridCol w:w="2834"/>
        <w:gridCol w:w="136"/>
        <w:gridCol w:w="286"/>
        <w:gridCol w:w="254"/>
        <w:gridCol w:w="1248"/>
        <w:gridCol w:w="279"/>
        <w:gridCol w:w="1225"/>
        <w:gridCol w:w="276"/>
        <w:gridCol w:w="1224"/>
        <w:gridCol w:w="277"/>
        <w:gridCol w:w="44"/>
        <w:gridCol w:w="35"/>
        <w:gridCol w:w="1174"/>
        <w:gridCol w:w="263"/>
        <w:gridCol w:w="1237"/>
      </w:tblGrid>
      <w:tr w:rsidR="00FA7920" w14:paraId="5E2EAB49" w14:textId="77777777">
        <w:trPr>
          <w:trHeight w:val="425"/>
        </w:trPr>
        <w:tc>
          <w:tcPr>
            <w:tcW w:w="2834" w:type="dxa"/>
            <w:vMerge w:val="restart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013E3F1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hidden="0" allowOverlap="1" wp14:anchorId="6C779DFC" wp14:editId="43F4B359">
                  <wp:simplePos x="0" y="0"/>
                  <wp:positionH relativeFrom="column">
                    <wp:posOffset>961582</wp:posOffset>
                  </wp:positionH>
                  <wp:positionV relativeFrom="paragraph">
                    <wp:posOffset>-456465</wp:posOffset>
                  </wp:positionV>
                  <wp:extent cx="84582" cy="46451"/>
                  <wp:effectExtent l="0" t="0" r="0" b="0"/>
                  <wp:wrapTopAndBottom distT="0" dist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82" cy="464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261C810D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36" w:type="dxa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E8F83CD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822" w:type="dxa"/>
            <w:gridSpan w:val="13"/>
            <w:vMerge w:val="restart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2C00C2A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35"/>
              </w:tabs>
              <w:rPr>
                <w:rFonts w:ascii="Arial Narrow" w:eastAsia="Arial Narrow" w:hAnsi="Arial Narrow" w:cs="Arial Narrow"/>
                <w:b/>
                <w:color w:val="000000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32"/>
                <w:szCs w:val="32"/>
              </w:rPr>
              <w:t>Curriculum vitae</w:t>
            </w:r>
          </w:p>
          <w:p w14:paraId="2C9F860B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35"/>
              </w:tabs>
              <w:rPr>
                <w:rFonts w:ascii="Arial Narrow" w:eastAsia="Arial Narrow" w:hAnsi="Arial Narrow" w:cs="Arial Narrow"/>
                <w:b/>
                <w:color w:val="000000"/>
                <w:sz w:val="32"/>
                <w:szCs w:val="32"/>
              </w:rPr>
            </w:pPr>
          </w:p>
          <w:p w14:paraId="7EE62537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35"/>
              </w:tabs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FA7920" w14:paraId="5CEDCE28" w14:textId="77777777">
        <w:trPr>
          <w:trHeight w:val="281"/>
        </w:trPr>
        <w:tc>
          <w:tcPr>
            <w:tcW w:w="2834" w:type="dxa"/>
            <w:vMerge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F6DF68C" w14:textId="77777777" w:rsidR="00FA7920" w:rsidRDefault="00FA7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36" w:type="dxa"/>
            <w:tcBorders>
              <w:top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8982954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822" w:type="dxa"/>
            <w:gridSpan w:val="13"/>
            <w:vMerge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0767EDE" w14:textId="77777777" w:rsidR="00FA7920" w:rsidRDefault="00FA7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FA7920" w14:paraId="5B3DC9D4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A0AC7A0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Informatii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Personale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A990410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FA7920" w14:paraId="77E45BEB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C74B922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Nume  Prenume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4EF3580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Breaza Gelu Mihai</w:t>
            </w:r>
          </w:p>
        </w:tc>
      </w:tr>
      <w:tr w:rsidR="00FA7920" w14:paraId="3F971454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EA74035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Adresa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156F238" w14:textId="329EF720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A7920" w14:paraId="0AE56A50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1F3A705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5113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B5B2FC1" w14:textId="177B4ABD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35" w:type="dxa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443B6CA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4C8154A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  <w:tr w:rsidR="00FA7920" w14:paraId="672FD18E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E2C3BE8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202F9A4" w14:textId="6FEEEC6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  <w:tr w:rsidR="00FA7920" w14:paraId="7F1EC210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08731A4" w14:textId="3D9FB2E6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D88407C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</w:tr>
      <w:tr w:rsidR="00FA7920" w14:paraId="5FD6F1AF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A07EB07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Nationalitate</w:t>
            </w:r>
            <w:proofErr w:type="spellEnd"/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CD05843" w14:textId="3BF03104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  <w:tr w:rsidR="00FA7920" w14:paraId="42683679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4029D6A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35DD95B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</w:tr>
      <w:tr w:rsidR="00FA7920" w14:paraId="33A9DAE2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2FEA590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nasterii</w:t>
            </w:r>
            <w:proofErr w:type="spellEnd"/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E224479" w14:textId="08953B33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  <w:tr w:rsidR="00FA7920" w14:paraId="23EE02F5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63ECC92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23AC6EC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</w:tr>
      <w:tr w:rsidR="00FA7920" w14:paraId="03118A3E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CF445D2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Sex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22791CF" w14:textId="600CD7B6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  <w:tr w:rsidR="00FA7920" w14:paraId="300359EF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2F13068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9DAF55B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</w:tr>
      <w:tr w:rsidR="00FA7920" w14:paraId="69AF402E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B9DF04E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  <w:p w14:paraId="4518A8F1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</w:t>
            </w:r>
          </w:p>
          <w:p w14:paraId="5E15FFC3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Domeniu 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ocupational</w:t>
            </w:r>
            <w:proofErr w:type="spellEnd"/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9A2F7D8" w14:textId="1DD51FE2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</w:t>
            </w:r>
          </w:p>
          <w:p w14:paraId="4BA92DF8" w14:textId="77777777" w:rsidR="00633D3F" w:rsidRDefault="00633D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  <w:p w14:paraId="1C0AE992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Medicina- Chirurgie Generala</w:t>
            </w:r>
          </w:p>
        </w:tc>
      </w:tr>
      <w:tr w:rsidR="00FA7920" w14:paraId="08DC5D3B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33E231E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1D5F9CA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</w:tr>
      <w:tr w:rsidR="00FA7920" w14:paraId="700277B0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8F1564E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Experiența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D88B131" w14:textId="77777777" w:rsidR="00FA7920" w:rsidRDefault="00FA7920" w:rsidP="00633D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FA7920" w14:paraId="5CDE2B86" w14:textId="77777777">
        <w:trPr>
          <w:trHeight w:val="68"/>
        </w:trPr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9B68F3A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BA17A50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</w:tr>
      <w:tr w:rsidR="00FA7920" w14:paraId="344C7736" w14:textId="77777777">
        <w:trPr>
          <w:trHeight w:val="68"/>
        </w:trPr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2389310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F6EAF6B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</w:tr>
      <w:tr w:rsidR="00FA7920" w14:paraId="7380FF68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4861633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                                   2023 – Prezent </w:t>
            </w:r>
          </w:p>
          <w:p w14:paraId="570E9C96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                                   </w:t>
            </w:r>
          </w:p>
          <w:p w14:paraId="6699FC48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2018 – 2023</w:t>
            </w:r>
          </w:p>
          <w:p w14:paraId="3C705589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3C8E3A84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                            2015 – 2018</w:t>
            </w:r>
          </w:p>
          <w:p w14:paraId="3767BA50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163592B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                            2013 – 2014</w:t>
            </w:r>
          </w:p>
          <w:p w14:paraId="7B6092BF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42EA9835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                            2007 – 2012</w:t>
            </w:r>
          </w:p>
          <w:p w14:paraId="3CDDF59B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A2418AC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                            2006 - 2007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5D33E66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Asistent Universitar UMF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Timisoara</w:t>
            </w:r>
            <w:proofErr w:type="spellEnd"/>
          </w:p>
          <w:p w14:paraId="540DA692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2ABC0EE0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Medic primar Chirurgie Generala Spitalul Municipal Lugoj</w:t>
            </w:r>
          </w:p>
          <w:p w14:paraId="0B936711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  <w:p w14:paraId="30E5B9CA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Medic specialist Chirurgie Generala Spitalul Municipal Lugoj</w:t>
            </w:r>
          </w:p>
          <w:p w14:paraId="78154036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  <w:p w14:paraId="624D62E8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Colaborator Spitalul Municipal de Urgenta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Timisoara</w:t>
            </w:r>
            <w:proofErr w:type="spellEnd"/>
          </w:p>
          <w:p w14:paraId="4DD851E5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  <w:p w14:paraId="7ECAA271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Medic rezident Chirurgie Generala</w:t>
            </w:r>
          </w:p>
          <w:p w14:paraId="3EC6CA9A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  <w:p w14:paraId="6B575208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Medic rezident Medicina de Familie</w:t>
            </w:r>
          </w:p>
          <w:p w14:paraId="0FF2DFD1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  <w:tr w:rsidR="00FA7920" w14:paraId="01A7A3FF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6D3389C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Functia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sau postul ocupat</w:t>
            </w:r>
          </w:p>
          <w:p w14:paraId="602F8E03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1B680506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0957B4B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Asistent Universitar UMF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Timisoara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</w:t>
            </w:r>
          </w:p>
        </w:tc>
      </w:tr>
      <w:tr w:rsidR="00FA7920" w14:paraId="393909FF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74B2683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Principalele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activităţi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şi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responsabilităţi</w:t>
            </w:r>
            <w:proofErr w:type="spellEnd"/>
          </w:p>
          <w:p w14:paraId="39112965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26DE2EA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CA71DA6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- Activitate didactica cu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studentii</w:t>
            </w:r>
            <w:proofErr w:type="spellEnd"/>
          </w:p>
          <w:p w14:paraId="22293FB3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- Efectuarea de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interventii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chirurgicale in domeniul chirurgiei generale</w:t>
            </w:r>
          </w:p>
          <w:p w14:paraId="237D7A10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- Efectuarea de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garzi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in regim de urgenta in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domneniul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chirurgiei generale</w:t>
            </w:r>
          </w:p>
          <w:p w14:paraId="1FC08EF5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highlight w:val="yellow"/>
              </w:rPr>
            </w:pPr>
          </w:p>
        </w:tc>
      </w:tr>
      <w:tr w:rsidR="00FA7920" w14:paraId="5009F5BB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C414FEE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Numele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şi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adresa angajatorului</w:t>
            </w:r>
          </w:p>
          <w:p w14:paraId="50A44490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8E71FC1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  <w:p w14:paraId="65BA07FA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Universitatea de Medicina si Farmacie „Victor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Babes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”,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Timisoara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,  Jud.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Timis</w:t>
            </w:r>
            <w:proofErr w:type="spellEnd"/>
          </w:p>
          <w:p w14:paraId="2CD0EBFF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Spitalul clinic Municipal de Urgenta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Timisoara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, Jud.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Timis</w:t>
            </w:r>
            <w:proofErr w:type="spellEnd"/>
          </w:p>
          <w:p w14:paraId="65FA57DF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highlight w:val="yellow"/>
              </w:rPr>
            </w:pPr>
          </w:p>
        </w:tc>
      </w:tr>
      <w:tr w:rsidR="00FA7920" w14:paraId="592A6D6B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924DA1B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  <w:highlight w:val="yellow"/>
              </w:rPr>
            </w:pPr>
          </w:p>
          <w:p w14:paraId="05D0091E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  <w:highlight w:val="yellow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8FA6612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</w:tr>
      <w:tr w:rsidR="00FA7920" w14:paraId="6BB50DD5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BB49A81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Educaţie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şi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formare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A9831A2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  <w:tr w:rsidR="00FA7920" w14:paraId="06306EEB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BE0997F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26D4D05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</w:tr>
      <w:tr w:rsidR="00FA7920" w14:paraId="2F70D5B8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B1BE665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2007-2012</w:t>
            </w:r>
          </w:p>
          <w:p w14:paraId="48626CEF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2006-2007</w:t>
            </w:r>
          </w:p>
          <w:p w14:paraId="02F9E82A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lastRenderedPageBreak/>
              <w:t>1999-2005</w:t>
            </w:r>
          </w:p>
          <w:p w14:paraId="484C56D8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1995- 1999</w:t>
            </w:r>
          </w:p>
          <w:p w14:paraId="33AC702B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7957E7FA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3C6B512A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C158F19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lastRenderedPageBreak/>
              <w:t>Medic rezident Chirurgie Generala</w:t>
            </w:r>
          </w:p>
          <w:p w14:paraId="621F9FED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Medic rezident Medicina de Familie</w:t>
            </w:r>
          </w:p>
          <w:p w14:paraId="72472C06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lastRenderedPageBreak/>
              <w:t>Univeristatea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de Medicina și Farmacie Craiova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br/>
              <w:t>Colegiul Național Traian – profil biologie-chimie</w:t>
            </w:r>
          </w:p>
        </w:tc>
      </w:tr>
      <w:tr w:rsidR="00FA7920" w14:paraId="317BE527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6C3D148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lastRenderedPageBreak/>
              <w:t xml:space="preserve">Calificarea / diploma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obţinută</w:t>
            </w:r>
            <w:proofErr w:type="spellEnd"/>
          </w:p>
          <w:p w14:paraId="71407E09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2301907" w14:textId="77777777" w:rsidR="00FA7920" w:rsidRDefault="0016555A" w:rsidP="00633D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1A3D01D4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Diploma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Medic-Doctor- septembrie 2005</w:t>
            </w:r>
          </w:p>
        </w:tc>
      </w:tr>
      <w:tr w:rsidR="00FA7920" w14:paraId="620879E8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912D96A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Discipline principale studiate/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competenţe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dobândite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32BA5F3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113"/>
              <w:jc w:val="both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  <w:p w14:paraId="1C8A5197" w14:textId="77777777" w:rsidR="00FA7920" w:rsidRDefault="0016555A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Curs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Echografie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abdominala in 2012</w:t>
            </w:r>
          </w:p>
          <w:p w14:paraId="0168E06E" w14:textId="77777777" w:rsidR="00FA7920" w:rsidRDefault="0016555A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Curs Laparoscopie nivel II 2020</w:t>
            </w:r>
          </w:p>
          <w:p w14:paraId="2F7695E2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  <w:p w14:paraId="7360C23C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A7920" w14:paraId="2DEFA8C4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A39B67C" w14:textId="28677BA2" w:rsidR="00FA7920" w:rsidRDefault="00633D3F" w:rsidP="00633D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                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Lucrari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publicate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31AA0E5" w14:textId="77777777" w:rsidR="00FA7920" w:rsidRDefault="00FA7920" w:rsidP="00633D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  <w:p w14:paraId="7F9B2FC1" w14:textId="7454E5A9" w:rsidR="00FA7920" w:rsidRDefault="006E5FE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  <w:r w:rsid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 </w:t>
            </w:r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Complications</w:t>
            </w:r>
            <w:proofErr w:type="spellEnd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Roux</w:t>
            </w:r>
            <w:proofErr w:type="spellEnd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-En-Y Gastric Bypass </w:t>
            </w:r>
            <w:proofErr w:type="spellStart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Performed</w:t>
            </w:r>
            <w:proofErr w:type="spellEnd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By</w:t>
            </w:r>
            <w:proofErr w:type="spellEnd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Laparotomy</w:t>
            </w:r>
            <w:proofErr w:type="spellEnd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Comparison</w:t>
            </w:r>
            <w:proofErr w:type="spellEnd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With</w:t>
            </w:r>
            <w:proofErr w:type="spellEnd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the</w:t>
            </w:r>
            <w:proofErr w:type="spellEnd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Laparoscopic</w:t>
            </w:r>
            <w:proofErr w:type="spellEnd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Approach</w:t>
            </w:r>
            <w:proofErr w:type="spellEnd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Described</w:t>
            </w:r>
            <w:proofErr w:type="spellEnd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the</w:t>
            </w:r>
            <w:proofErr w:type="spellEnd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Literature</w:t>
            </w:r>
            <w:proofErr w:type="spellEnd"/>
            <w:r w:rsidRPr="000C291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",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Laurentiu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V. Sima, Alexandra C. Sima, Radu G. Dan, Gelu M. Breaza, Octavian M.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Cretu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published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Timisoara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20"/>
                <w:szCs w:val="20"/>
              </w:rPr>
              <w:t>Medical Journal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, No. 3-4, Vol. 61, 2011, pag. 163-166.</w:t>
            </w:r>
          </w:p>
          <w:p w14:paraId="570071ED" w14:textId="3E2A1792" w:rsidR="006E5FE0" w:rsidRPr="006E5FE0" w:rsidRDefault="006E5FE0" w:rsidP="006E5FE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 w:rsidR="000C2915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6E5FE0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>Breaza GM, Dan RG, Hut FE, Baderca F, Cretu OM, Sima LV. Pancreaticoduodenectomy with anatomical vascular variant in groove pancreatitis—A case report. Medicina. 2024;60(4):626. doi:10.3390/medicina60040626.</w:t>
            </w:r>
          </w:p>
          <w:p w14:paraId="471F63AB" w14:textId="0E8437BF" w:rsidR="006E5FE0" w:rsidRPr="006E5FE0" w:rsidRDefault="006E5FE0" w:rsidP="006E5FE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 w:rsidR="000C2915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6E5FE0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>Breaza GM, Hut FE, Cretu O, Abu-Awwad SA, Abu-Awwad A, Sima LV, Dan RG, Dan CA-M, Closca RM, Zara F. Correlation Between Systemic Inflammation, Gut Microbiome Dysbiosis and Postoperative Complications After the Modified Whipple Procedure. Biomedicines. 2025;13(1):104. doi:10.3390/biomedicines13010104.</w:t>
            </w:r>
          </w:p>
          <w:p w14:paraId="1A3F7768" w14:textId="24CCFFB8" w:rsidR="006E5FE0" w:rsidRPr="006E5FE0" w:rsidRDefault="000C2915" w:rsidP="006E5FE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 w:rsidR="006E5FE0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 w:rsidR="006E5FE0" w:rsidRPr="006E5FE0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>Breaza GM, Hut FE, Cretu O, Abu-Awwad SA, Abu-Awwad A, Sima LV, Dan RG, Dan CA-M, Closca RM, Zara F. Impact of Preoperative Biliary Stenting on Intestinal Dysfunction and Perioperative Complications after Pylorus-Preserving Pancreaticoduodenectomy. Medicina. 2025;61(x). doi:10.3390/xxxxx.</w:t>
            </w:r>
          </w:p>
          <w:p w14:paraId="0400CE1C" w14:textId="7F28D18A" w:rsidR="00FA7920" w:rsidRPr="00633D3F" w:rsidRDefault="006E5FE0" w:rsidP="00633D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 w:rsidR="000C2915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 w:rsidRPr="006E5FE0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n-US"/>
              </w:rPr>
              <w:t>Breaza, G.M.; Closca, R.M.; Cindrea, A.C.; Hut, F.E.; Cretu, O.; Sima, L.V.; Rakitovan, M.; Zara, F. Immunohistochemical Evaluation of the Tumor Immune Microenvironment in Pancreatic Ductal Adenocarcinoma. Diagnostics 2025, 15, 646. https:// doi.org/10.3390/diagnostics15050646</w:t>
            </w:r>
          </w:p>
        </w:tc>
      </w:tr>
      <w:tr w:rsidR="00FA7920" w14:paraId="3928A2BF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E2A4191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62233C4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</w:tr>
      <w:tr w:rsidR="00FA7920" w14:paraId="7367A2C4" w14:textId="77777777">
        <w:trPr>
          <w:trHeight w:val="643"/>
        </w:trPr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6F84A3B" w14:textId="4108E3CA" w:rsidR="00FA7920" w:rsidRDefault="00633D3F" w:rsidP="00633D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                     Limba maternă</w:t>
            </w:r>
          </w:p>
          <w:p w14:paraId="5E44B942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                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F149367" w14:textId="407410C6" w:rsidR="00FA7920" w:rsidRPr="002A4F6F" w:rsidRDefault="00633D3F" w:rsidP="00633D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    </w:t>
            </w:r>
            <w:r>
              <w:rPr>
                <w:rFonts w:ascii="Arial Narrow" w:eastAsia="Arial Narrow" w:hAnsi="Arial Narrow" w:cs="Arial Narrow"/>
                <w:b/>
                <w:color w:val="000000"/>
              </w:rPr>
              <w:t>Romana</w:t>
            </w:r>
          </w:p>
        </w:tc>
      </w:tr>
      <w:tr w:rsidR="00FA7920" w14:paraId="25AA9822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9DC3CED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11A3686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</w:tr>
      <w:tr w:rsidR="00FA7920" w14:paraId="5D1D71A0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B63A429" w14:textId="77777777" w:rsidR="002A4F6F" w:rsidRDefault="002A4F6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  <w:p w14:paraId="1C9B27F2" w14:textId="2862D56E" w:rsidR="00FA7920" w:rsidRDefault="002A4F6F" w:rsidP="002A4F6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    Limba(i) străină(e)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2DEE632" w14:textId="77777777" w:rsidR="002A4F6F" w:rsidRDefault="00633D3F" w:rsidP="00633D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</w:t>
            </w:r>
          </w:p>
          <w:p w14:paraId="07582F5B" w14:textId="240056E1" w:rsidR="00FA7920" w:rsidRDefault="00633D3F" w:rsidP="00633D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 Engleza , Franceza</w:t>
            </w:r>
          </w:p>
        </w:tc>
      </w:tr>
      <w:tr w:rsidR="00FA7920" w14:paraId="1662972E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D9CF079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Autoevaluare</w:t>
            </w:r>
          </w:p>
        </w:tc>
        <w:tc>
          <w:tcPr>
            <w:tcW w:w="286" w:type="dxa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8C23AA2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3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E50292C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Understanding</w:t>
            </w:r>
            <w:proofErr w:type="spellEnd"/>
          </w:p>
        </w:tc>
        <w:tc>
          <w:tcPr>
            <w:tcW w:w="3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4487266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Speaking</w:t>
            </w:r>
            <w:proofErr w:type="spellEnd"/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A597ECF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Writing</w:t>
            </w:r>
            <w:proofErr w:type="spellEnd"/>
          </w:p>
        </w:tc>
      </w:tr>
      <w:tr w:rsidR="00FA7920" w14:paraId="3F4B4F43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F4E7A3A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20"/>
                <w:szCs w:val="20"/>
              </w:rPr>
              <w:t xml:space="preserve">European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000000"/>
                <w:sz w:val="20"/>
                <w:szCs w:val="20"/>
              </w:rPr>
              <w:t>Level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86" w:type="dxa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0B3FDF3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4224F48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Listening</w:t>
            </w:r>
            <w:proofErr w:type="spellEnd"/>
          </w:p>
        </w:tc>
        <w:tc>
          <w:tcPr>
            <w:tcW w:w="15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3486E99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Reading</w:t>
            </w:r>
            <w:proofErr w:type="spellEnd"/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CC7BDB8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Conversation</w:t>
            </w:r>
            <w:proofErr w:type="spellEnd"/>
          </w:p>
        </w:tc>
        <w:tc>
          <w:tcPr>
            <w:tcW w:w="153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5C62964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Speaking</w:t>
            </w:r>
            <w:proofErr w:type="spellEnd"/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E2EAA62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Writing</w:t>
            </w:r>
            <w:proofErr w:type="spellEnd"/>
          </w:p>
        </w:tc>
      </w:tr>
      <w:tr w:rsidR="00FA7920" w14:paraId="381CD35C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72C9920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                          Engleza</w:t>
            </w:r>
          </w:p>
        </w:tc>
        <w:tc>
          <w:tcPr>
            <w:tcW w:w="286" w:type="dxa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4FB4E06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7ECF727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8D244C6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B2</w:t>
            </w:r>
          </w:p>
        </w:tc>
        <w:tc>
          <w:tcPr>
            <w:tcW w:w="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5A51CD9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507E28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B2</w:t>
            </w:r>
          </w:p>
        </w:tc>
        <w:tc>
          <w:tcPr>
            <w:tcW w:w="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D04AFC2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7D7562F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B2</w:t>
            </w:r>
          </w:p>
        </w:tc>
        <w:tc>
          <w:tcPr>
            <w:tcW w:w="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B11FF18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C743A80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B2</w:t>
            </w:r>
          </w:p>
        </w:tc>
        <w:tc>
          <w:tcPr>
            <w:tcW w:w="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1F500DE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F2EF940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B2</w:t>
            </w:r>
          </w:p>
        </w:tc>
      </w:tr>
      <w:tr w:rsidR="00FA7920" w14:paraId="6A04EEA4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4E5495D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Franceza</w:t>
            </w:r>
          </w:p>
        </w:tc>
        <w:tc>
          <w:tcPr>
            <w:tcW w:w="286" w:type="dxa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B3C3F91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15F5BCB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251447B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B2</w:t>
            </w:r>
          </w:p>
        </w:tc>
        <w:tc>
          <w:tcPr>
            <w:tcW w:w="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2BCCBF9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FE9C629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B2</w:t>
            </w:r>
          </w:p>
        </w:tc>
        <w:tc>
          <w:tcPr>
            <w:tcW w:w="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663CDEE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DE0211E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B1</w:t>
            </w:r>
          </w:p>
        </w:tc>
        <w:tc>
          <w:tcPr>
            <w:tcW w:w="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A6346D4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DA0FF12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B1</w:t>
            </w:r>
          </w:p>
        </w:tc>
        <w:tc>
          <w:tcPr>
            <w:tcW w:w="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4661706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B8E37F2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B1</w:t>
            </w:r>
          </w:p>
        </w:tc>
      </w:tr>
      <w:tr w:rsidR="00FA7920" w14:paraId="19286D6B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A43FE77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113" w:type="dxa"/>
              <w:right w:w="0" w:type="dxa"/>
            </w:tcMar>
          </w:tcPr>
          <w:p w14:paraId="7D8602DA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 xml:space="preserve">(*) Nivelul Cadrului European Comun de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Referinţă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 xml:space="preserve"> Pentru Limbi Străine</w:t>
            </w:r>
          </w:p>
        </w:tc>
      </w:tr>
      <w:tr w:rsidR="00FA7920" w14:paraId="7BB34011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EFA5E0A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5F67A01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</w:tr>
      <w:tr w:rsidR="00FA7920" w14:paraId="4041C001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94CD7B4" w14:textId="77777777" w:rsidR="002A4F6F" w:rsidRDefault="002A4F6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  <w:p w14:paraId="471C6F12" w14:textId="77777777" w:rsidR="002A4F6F" w:rsidRDefault="002A4F6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  <w:p w14:paraId="6402F012" w14:textId="77777777" w:rsidR="002A4F6F" w:rsidRDefault="002A4F6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  <w:p w14:paraId="26ADC5DC" w14:textId="28DDE766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Competente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şi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abilităţi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sociale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38C6229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4C10028C" w14:textId="77777777" w:rsidR="002A4F6F" w:rsidRDefault="002A4F6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0473B503" w14:textId="77777777" w:rsidR="002A4F6F" w:rsidRDefault="002A4F6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5A88A604" w14:textId="77777777" w:rsidR="002A4F6F" w:rsidRDefault="002A4F6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434F049A" w14:textId="77777777" w:rsidR="002A4F6F" w:rsidRDefault="002A4F6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B9EA58B" w14:textId="4755D812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Dinamic, Sociabil, Comunicare eficiența cu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pacientii</w:t>
            </w:r>
            <w:proofErr w:type="spellEnd"/>
          </w:p>
        </w:tc>
      </w:tr>
      <w:tr w:rsidR="00FA7920" w14:paraId="44118A94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56FBF9B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B165D9A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</w:tr>
      <w:tr w:rsidR="00FA7920" w14:paraId="7B1CFDF7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FFE1AFE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lastRenderedPageBreak/>
              <w:t>Competenţe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şi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cunoştinţe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de utilizare a calculatorului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25E6A34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Windows Office :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word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excel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point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; internet</w:t>
            </w:r>
          </w:p>
        </w:tc>
      </w:tr>
      <w:tr w:rsidR="00FA7920" w14:paraId="356CFF1E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247EBF7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C341741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</w:tr>
      <w:tr w:rsidR="00FA7920" w14:paraId="71B58A21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183E7F5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C66757A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  <w:tr w:rsidR="00FA7920" w14:paraId="0F6BCFAE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C8118C3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F9FC595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</w:tr>
      <w:tr w:rsidR="00FA7920" w14:paraId="365B93A9" w14:textId="77777777">
        <w:trPr>
          <w:trHeight w:val="162"/>
        </w:trPr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60B04ED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FC8D335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b/>
                <w:color w:val="000000"/>
                <w:sz w:val="4"/>
                <w:szCs w:val="4"/>
              </w:rPr>
            </w:pPr>
          </w:p>
        </w:tc>
      </w:tr>
      <w:tr w:rsidR="00FA7920" w14:paraId="745FE178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23C9A73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Permis Conducere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9FE28BD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466D90FC" w14:textId="77777777" w:rsidR="00FA7920" w:rsidRDefault="001655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Categoria B</w:t>
            </w:r>
          </w:p>
        </w:tc>
      </w:tr>
      <w:tr w:rsidR="00FA7920" w14:paraId="4DB8462A" w14:textId="77777777"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D59B534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5894211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</w:tr>
      <w:tr w:rsidR="00FA7920" w14:paraId="473E25B9" w14:textId="77777777">
        <w:trPr>
          <w:trHeight w:val="40"/>
        </w:trPr>
        <w:tc>
          <w:tcPr>
            <w:tcW w:w="2970" w:type="dxa"/>
            <w:gridSpan w:val="2"/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16897BE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4922FBD" w14:textId="77777777" w:rsidR="00FA7920" w:rsidRDefault="00FA7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Arial Narrow" w:eastAsia="Arial Narrow" w:hAnsi="Arial Narrow" w:cs="Arial Narrow"/>
                <w:color w:val="000000"/>
                <w:sz w:val="4"/>
                <w:szCs w:val="4"/>
              </w:rPr>
            </w:pPr>
          </w:p>
        </w:tc>
      </w:tr>
    </w:tbl>
    <w:p w14:paraId="363A0FA9" w14:textId="77777777" w:rsidR="00FA7920" w:rsidRDefault="00FA7920">
      <w:pPr>
        <w:widowControl/>
        <w:pBdr>
          <w:top w:val="nil"/>
          <w:left w:val="nil"/>
          <w:bottom w:val="nil"/>
          <w:right w:val="nil"/>
          <w:between w:val="nil"/>
        </w:pBdr>
        <w:ind w:left="113" w:right="113"/>
        <w:rPr>
          <w:rFonts w:ascii="Arial Narrow" w:eastAsia="Arial Narrow" w:hAnsi="Arial Narrow" w:cs="Arial Narrow"/>
          <w:color w:val="000000"/>
          <w:sz w:val="20"/>
          <w:szCs w:val="20"/>
        </w:rPr>
      </w:pPr>
    </w:p>
    <w:sectPr w:rsidR="00FA7920">
      <w:headerReference w:type="default" r:id="rId8"/>
      <w:footerReference w:type="default" r:id="rId9"/>
      <w:pgSz w:w="11906" w:h="16838"/>
      <w:pgMar w:top="851" w:right="567" w:bottom="1003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27239" w14:textId="77777777" w:rsidR="0016555A" w:rsidRDefault="0016555A">
      <w:r>
        <w:separator/>
      </w:r>
    </w:p>
  </w:endnote>
  <w:endnote w:type="continuationSeparator" w:id="0">
    <w:p w14:paraId="5B9C11A6" w14:textId="77777777" w:rsidR="0016555A" w:rsidRDefault="00165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00270" w14:textId="77777777" w:rsidR="00FA7920" w:rsidRDefault="0016555A">
    <w:pPr>
      <w:widowControl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 Narrow" w:eastAsia="Arial Narrow" w:hAnsi="Arial Narrow" w:cs="Arial Narrow"/>
        <w:color w:val="000000"/>
        <w:sz w:val="20"/>
        <w:szCs w:val="20"/>
      </w:rPr>
    </w:pPr>
    <w:r>
      <w:rPr>
        <w:rFonts w:ascii="Arial Narrow" w:eastAsia="Arial Narrow" w:hAnsi="Arial Narrow" w:cs="Arial Narrow"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color w:val="000000"/>
        <w:sz w:val="20"/>
        <w:szCs w:val="20"/>
      </w:rPr>
      <w:instrText>PAGE</w:instrTex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separate"/>
    </w:r>
    <w:r w:rsidR="006F22BD">
      <w:rPr>
        <w:rFonts w:ascii="Arial Narrow" w:eastAsia="Arial Narrow" w:hAnsi="Arial Narrow" w:cs="Arial Narrow"/>
        <w:noProof/>
        <w:color w:val="000000"/>
        <w:sz w:val="20"/>
        <w:szCs w:val="20"/>
      </w:rPr>
      <w:t>3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end"/>
    </w:r>
  </w:p>
  <w:p w14:paraId="237A2C5A" w14:textId="77777777" w:rsidR="00FA7920" w:rsidRDefault="00FA7920">
    <w:pPr>
      <w:widowControl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 Narrow" w:eastAsia="Arial Narrow" w:hAnsi="Arial Narrow" w:cs="Arial Narrow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05136" w14:textId="77777777" w:rsidR="0016555A" w:rsidRDefault="0016555A">
      <w:r>
        <w:separator/>
      </w:r>
    </w:p>
  </w:footnote>
  <w:footnote w:type="continuationSeparator" w:id="0">
    <w:p w14:paraId="71128661" w14:textId="77777777" w:rsidR="0016555A" w:rsidRDefault="00165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E9EFB" w14:textId="77777777" w:rsidR="00FA7920" w:rsidRDefault="0016555A">
    <w:pPr>
      <w:widowControl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 Narrow" w:eastAsia="Arial Narrow" w:hAnsi="Arial Narrow" w:cs="Arial Narrow"/>
        <w:color w:val="000000"/>
        <w:sz w:val="20"/>
        <w:szCs w:val="20"/>
      </w:rPr>
    </w:pPr>
    <w:r>
      <w:rPr>
        <w:rFonts w:ascii="Arial Narrow" w:eastAsia="Arial Narrow" w:hAnsi="Arial Narrow" w:cs="Arial Narrow"/>
        <w:noProof/>
        <w:color w:val="000000"/>
        <w:sz w:val="20"/>
        <w:szCs w:val="20"/>
        <w:lang w:val="en-US"/>
      </w:rPr>
      <w:drawing>
        <wp:inline distT="0" distB="0" distL="0" distR="0" wp14:anchorId="6E720FDB" wp14:editId="28D737A6">
          <wp:extent cx="2513859" cy="643728"/>
          <wp:effectExtent l="0" t="0" r="0" b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3859" cy="64372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 Narrow" w:eastAsia="Arial Narrow" w:hAnsi="Arial Narrow" w:cs="Arial Narrow"/>
        <w:color w:val="000000"/>
        <w:sz w:val="20"/>
        <w:szCs w:val="20"/>
      </w:rPr>
      <w:tab/>
    </w:r>
  </w:p>
  <w:p w14:paraId="1695A7AD" w14:textId="77777777" w:rsidR="00FA7920" w:rsidRDefault="00FA7920">
    <w:pPr>
      <w:widowControl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 Narrow" w:eastAsia="Arial Narrow" w:hAnsi="Arial Narrow" w:cs="Arial Narrow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0298F"/>
    <w:multiLevelType w:val="multilevel"/>
    <w:tmpl w:val="161CA544"/>
    <w:lvl w:ilvl="0">
      <w:numFmt w:val="bullet"/>
      <w:lvlText w:val="-"/>
      <w:lvlJc w:val="left"/>
      <w:pPr>
        <w:ind w:left="720" w:hanging="360"/>
      </w:pPr>
      <w:rPr>
        <w:rFonts w:ascii="Garamond" w:eastAsia="Garamond" w:hAnsi="Garamond" w:cs="Garamond"/>
        <w:b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861484"/>
    <w:multiLevelType w:val="multilevel"/>
    <w:tmpl w:val="70BC467E"/>
    <w:lvl w:ilvl="0">
      <w:numFmt w:val="bullet"/>
      <w:lvlText w:val="-"/>
      <w:lvlJc w:val="left"/>
      <w:pPr>
        <w:ind w:left="720" w:hanging="360"/>
      </w:pPr>
      <w:rPr>
        <w:rFonts w:ascii="Garamond" w:eastAsia="Garamond" w:hAnsi="Garamond" w:cs="Garamond"/>
        <w:b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20"/>
    <w:rsid w:val="000C2915"/>
    <w:rsid w:val="0016555A"/>
    <w:rsid w:val="002A4F6F"/>
    <w:rsid w:val="00633D3F"/>
    <w:rsid w:val="00643254"/>
    <w:rsid w:val="006E5FE0"/>
    <w:rsid w:val="006F22BD"/>
    <w:rsid w:val="009716EE"/>
    <w:rsid w:val="00985754"/>
    <w:rsid w:val="00FA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81E1E"/>
  <w15:docId w15:val="{31F46D59-EC4C-4C8D-86E6-184BAD3D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2F5496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breaza gelu</dc:creator>
  <cp:lastModifiedBy>DCC</cp:lastModifiedBy>
  <cp:revision>3</cp:revision>
  <dcterms:created xsi:type="dcterms:W3CDTF">2025-03-27T17:13:00Z</dcterms:created>
  <dcterms:modified xsi:type="dcterms:W3CDTF">2025-05-05T05:18:00Z</dcterms:modified>
</cp:coreProperties>
</file>