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1F453" w14:textId="77777777" w:rsidR="00C01C9E" w:rsidRPr="00E00B5E" w:rsidRDefault="00C01C9E" w:rsidP="00C01C9E">
      <w:pPr>
        <w:ind w:left="792" w:right="144" w:hanging="360"/>
        <w:rPr>
          <w:rFonts w:ascii="Times New Roman" w:hAnsi="Times New Roman" w:cs="Times New Roman"/>
          <w:sz w:val="32"/>
          <w:szCs w:val="32"/>
        </w:rPr>
      </w:pPr>
    </w:p>
    <w:p w14:paraId="15259B7E" w14:textId="4E11485D" w:rsidR="00C01C9E" w:rsidRPr="00E00B5E" w:rsidRDefault="00C01C9E" w:rsidP="00C01C9E">
      <w:pPr>
        <w:ind w:left="792" w:right="144" w:hanging="360"/>
        <w:rPr>
          <w:rFonts w:ascii="Times New Roman" w:hAnsi="Times New Roman" w:cs="Times New Roman"/>
          <w:sz w:val="32"/>
          <w:szCs w:val="32"/>
        </w:rPr>
      </w:pPr>
      <w:r w:rsidRPr="00E00B5E">
        <w:rPr>
          <w:noProof/>
        </w:rPr>
        <w:drawing>
          <wp:anchor distT="0" distB="0" distL="114300" distR="114300" simplePos="0" relativeHeight="251659264" behindDoc="0" locked="0" layoutInCell="1" allowOverlap="1" wp14:anchorId="274D2C50" wp14:editId="33D6D424">
            <wp:simplePos x="0" y="0"/>
            <wp:positionH relativeFrom="margin">
              <wp:align>left</wp:align>
            </wp:positionH>
            <wp:positionV relativeFrom="paragraph">
              <wp:posOffset>-624117</wp:posOffset>
            </wp:positionV>
            <wp:extent cx="2491455" cy="624205"/>
            <wp:effectExtent l="0" t="0" r="4445" b="4445"/>
            <wp:wrapNone/>
            <wp:docPr id="2121927421" name="Picture 1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Text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45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22562E" w14:textId="63164DE6" w:rsidR="00F72153" w:rsidRPr="00F974C0" w:rsidRDefault="00615C49" w:rsidP="00C01C9E">
      <w:pPr>
        <w:ind w:left="792" w:right="144" w:hanging="36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F974C0">
        <w:rPr>
          <w:rFonts w:ascii="Times New Roman" w:hAnsi="Times New Roman" w:cs="Times New Roman"/>
          <w:b/>
          <w:bCs/>
          <w:sz w:val="36"/>
          <w:szCs w:val="36"/>
        </w:rPr>
        <w:t xml:space="preserve">LISTA </w:t>
      </w:r>
      <w:r w:rsidR="00C01C9E" w:rsidRPr="00F974C0">
        <w:rPr>
          <w:rFonts w:ascii="Times New Roman" w:hAnsi="Times New Roman" w:cs="Times New Roman"/>
          <w:b/>
          <w:bCs/>
          <w:sz w:val="36"/>
          <w:szCs w:val="36"/>
        </w:rPr>
        <w:t xml:space="preserve">DE </w:t>
      </w:r>
      <w:r w:rsidRPr="00F974C0">
        <w:rPr>
          <w:rFonts w:ascii="Times New Roman" w:hAnsi="Times New Roman" w:cs="Times New Roman"/>
          <w:b/>
          <w:bCs/>
          <w:sz w:val="36"/>
          <w:szCs w:val="36"/>
        </w:rPr>
        <w:t>LUCR</w:t>
      </w:r>
      <w:r w:rsidR="00C01C9E" w:rsidRPr="00F974C0">
        <w:rPr>
          <w:rFonts w:ascii="Times New Roman" w:hAnsi="Times New Roman" w:cs="Times New Roman"/>
          <w:b/>
          <w:bCs/>
          <w:sz w:val="36"/>
          <w:szCs w:val="36"/>
        </w:rPr>
        <w:t>Ă</w:t>
      </w:r>
      <w:r w:rsidRPr="00F974C0">
        <w:rPr>
          <w:rFonts w:ascii="Times New Roman" w:hAnsi="Times New Roman" w:cs="Times New Roman"/>
          <w:b/>
          <w:bCs/>
          <w:sz w:val="36"/>
          <w:szCs w:val="36"/>
        </w:rPr>
        <w:t xml:space="preserve">RI </w:t>
      </w:r>
      <w:r w:rsidR="00C01C9E" w:rsidRPr="00F974C0">
        <w:rPr>
          <w:rFonts w:ascii="Times New Roman" w:hAnsi="Times New Roman" w:cs="Times New Roman"/>
          <w:b/>
          <w:bCs/>
          <w:sz w:val="36"/>
          <w:szCs w:val="36"/>
        </w:rPr>
        <w:t>Ș</w:t>
      </w:r>
      <w:r w:rsidRPr="00F974C0">
        <w:rPr>
          <w:rFonts w:ascii="Times New Roman" w:hAnsi="Times New Roman" w:cs="Times New Roman"/>
          <w:b/>
          <w:bCs/>
          <w:sz w:val="36"/>
          <w:szCs w:val="36"/>
        </w:rPr>
        <w:t>TIIN</w:t>
      </w:r>
      <w:r w:rsidR="00C01C9E" w:rsidRPr="00F974C0">
        <w:rPr>
          <w:rFonts w:ascii="Times New Roman" w:hAnsi="Times New Roman" w:cs="Times New Roman"/>
          <w:b/>
          <w:bCs/>
          <w:sz w:val="36"/>
          <w:szCs w:val="36"/>
        </w:rPr>
        <w:t>Ț</w:t>
      </w:r>
      <w:r w:rsidRPr="00F974C0">
        <w:rPr>
          <w:rFonts w:ascii="Times New Roman" w:hAnsi="Times New Roman" w:cs="Times New Roman"/>
          <w:b/>
          <w:bCs/>
          <w:sz w:val="36"/>
          <w:szCs w:val="36"/>
        </w:rPr>
        <w:t>IFICE</w:t>
      </w:r>
    </w:p>
    <w:p w14:paraId="1593ACD9" w14:textId="77777777" w:rsidR="00615C49" w:rsidRPr="00E00B5E" w:rsidRDefault="00615C49" w:rsidP="00F72153">
      <w:pPr>
        <w:ind w:left="792" w:right="144" w:hanging="360"/>
        <w:rPr>
          <w:rFonts w:ascii="Times New Roman" w:hAnsi="Times New Roman" w:cs="Times New Roman"/>
          <w:sz w:val="32"/>
          <w:szCs w:val="32"/>
        </w:rPr>
      </w:pPr>
    </w:p>
    <w:p w14:paraId="2AD73115" w14:textId="77777777" w:rsidR="00F72153" w:rsidRPr="00E00B5E" w:rsidRDefault="00F72153" w:rsidP="00F72153">
      <w:pPr>
        <w:ind w:left="792" w:right="144" w:hanging="360"/>
      </w:pPr>
    </w:p>
    <w:p w14:paraId="4103C04C" w14:textId="2990F735" w:rsidR="00DE34FA" w:rsidRPr="00E00B5E" w:rsidRDefault="00DE34FA" w:rsidP="00E006CC">
      <w:pPr>
        <w:numPr>
          <w:ilvl w:val="0"/>
          <w:numId w:val="2"/>
        </w:numPr>
        <w:jc w:val="both"/>
        <w:rPr>
          <w:sz w:val="24"/>
          <w:szCs w:val="24"/>
        </w:rPr>
      </w:pPr>
      <w:r w:rsidRPr="00E00B5E">
        <w:rPr>
          <w:b/>
          <w:bCs/>
          <w:sz w:val="24"/>
          <w:szCs w:val="24"/>
        </w:rPr>
        <w:t xml:space="preserve">Alexandra </w:t>
      </w:r>
      <w:proofErr w:type="spellStart"/>
      <w:r w:rsidRPr="00E00B5E">
        <w:rPr>
          <w:b/>
          <w:bCs/>
          <w:sz w:val="24"/>
          <w:szCs w:val="24"/>
        </w:rPr>
        <w:t>Tudorica</w:t>
      </w:r>
      <w:proofErr w:type="spellEnd"/>
      <w:r w:rsidRPr="00E00B5E">
        <w:rPr>
          <w:b/>
          <w:bCs/>
          <w:sz w:val="24"/>
          <w:szCs w:val="24"/>
        </w:rPr>
        <w:t xml:space="preserve"> (Sirmon)</w:t>
      </w:r>
      <w:r w:rsidRPr="00E00B5E">
        <w:rPr>
          <w:sz w:val="24"/>
          <w:szCs w:val="24"/>
        </w:rPr>
        <w:t xml:space="preserve">, </w:t>
      </w:r>
      <w:proofErr w:type="spellStart"/>
      <w:r w:rsidRPr="00E00B5E">
        <w:rPr>
          <w:sz w:val="24"/>
          <w:szCs w:val="24"/>
        </w:rPr>
        <w:t>Luminița</w:t>
      </w:r>
      <w:proofErr w:type="spellEnd"/>
      <w:r w:rsidRPr="00E00B5E">
        <w:rPr>
          <w:sz w:val="24"/>
          <w:szCs w:val="24"/>
        </w:rPr>
        <w:t xml:space="preserve"> Mirela </w:t>
      </w:r>
      <w:proofErr w:type="spellStart"/>
      <w:r w:rsidRPr="00E00B5E">
        <w:rPr>
          <w:sz w:val="24"/>
          <w:szCs w:val="24"/>
        </w:rPr>
        <w:t>Bădițoiu</w:t>
      </w:r>
      <w:proofErr w:type="spellEnd"/>
      <w:r w:rsidRPr="00E00B5E">
        <w:rPr>
          <w:sz w:val="24"/>
          <w:szCs w:val="24"/>
        </w:rPr>
        <w:t xml:space="preserve">, Mariana </w:t>
      </w:r>
      <w:proofErr w:type="spellStart"/>
      <w:r w:rsidRPr="00E00B5E">
        <w:rPr>
          <w:sz w:val="24"/>
          <w:szCs w:val="24"/>
        </w:rPr>
        <w:t>Anghel</w:t>
      </w:r>
      <w:proofErr w:type="spellEnd"/>
      <w:r w:rsidRPr="00E00B5E">
        <w:rPr>
          <w:sz w:val="24"/>
          <w:szCs w:val="24"/>
        </w:rPr>
        <w:t xml:space="preserve">, Sorina Maria </w:t>
      </w:r>
      <w:proofErr w:type="spellStart"/>
      <w:r w:rsidRPr="00E00B5E">
        <w:rPr>
          <w:sz w:val="24"/>
          <w:szCs w:val="24"/>
        </w:rPr>
        <w:t>Denisa</w:t>
      </w:r>
      <w:proofErr w:type="spellEnd"/>
      <w:r w:rsidRPr="00E00B5E">
        <w:rPr>
          <w:sz w:val="24"/>
          <w:szCs w:val="24"/>
        </w:rPr>
        <w:t xml:space="preserve"> </w:t>
      </w:r>
      <w:proofErr w:type="spellStart"/>
      <w:r w:rsidRPr="00E00B5E">
        <w:rPr>
          <w:sz w:val="24"/>
          <w:szCs w:val="24"/>
        </w:rPr>
        <w:t>Laitin</w:t>
      </w:r>
      <w:proofErr w:type="spellEnd"/>
      <w:r w:rsidRPr="00E00B5E">
        <w:rPr>
          <w:sz w:val="24"/>
          <w:szCs w:val="24"/>
        </w:rPr>
        <w:t>, Delia Muntean, Carmen Ana Kemper</w:t>
      </w:r>
      <w:r w:rsidRPr="00E00B5E">
        <w:rPr>
          <w:sz w:val="24"/>
          <w:szCs w:val="24"/>
        </w:rPr>
        <w:t>.</w:t>
      </w:r>
    </w:p>
    <w:p w14:paraId="16E5DAA0" w14:textId="419E3C90" w:rsidR="00E006CC" w:rsidRPr="00E00B5E" w:rsidRDefault="00E006CC" w:rsidP="00DE34FA">
      <w:pPr>
        <w:ind w:left="792"/>
        <w:jc w:val="both"/>
        <w:rPr>
          <w:sz w:val="24"/>
          <w:szCs w:val="24"/>
        </w:rPr>
      </w:pPr>
      <w:r w:rsidRPr="00E00B5E">
        <w:rPr>
          <w:sz w:val="24"/>
          <w:szCs w:val="24"/>
        </w:rPr>
        <w:t>Adenosine Triphosphate Bioluminescence Assay versus Microbiological Swab Culture in the Evaluation of Surface Sanitation in a Pediatric Hospital in Romania</w:t>
      </w:r>
      <w:r w:rsidR="00DE34FA" w:rsidRPr="00E00B5E">
        <w:rPr>
          <w:sz w:val="24"/>
          <w:szCs w:val="24"/>
        </w:rPr>
        <w:t>.</w:t>
      </w:r>
      <w:r w:rsidR="00DE34FA" w:rsidRPr="00E00B5E">
        <w:t xml:space="preserve"> </w:t>
      </w:r>
      <w:r w:rsidR="00DE34FA" w:rsidRPr="00E00B5E">
        <w:rPr>
          <w:sz w:val="24"/>
          <w:szCs w:val="24"/>
        </w:rPr>
        <w:t>Risk Management and Healthcare Policy 2025:18 1669–1681</w:t>
      </w:r>
      <w:r w:rsidR="00DE34FA" w:rsidRPr="00E00B5E">
        <w:rPr>
          <w:sz w:val="24"/>
          <w:szCs w:val="24"/>
        </w:rPr>
        <w:t>.</w:t>
      </w:r>
      <w:r w:rsidR="00DE34FA" w:rsidRPr="00E00B5E">
        <w:t xml:space="preserve"> </w:t>
      </w:r>
      <w:r w:rsidR="00DE34FA" w:rsidRPr="00E00B5E">
        <w:rPr>
          <w:sz w:val="24"/>
          <w:szCs w:val="24"/>
        </w:rPr>
        <w:t>https://www.dovepress.com/adenosine-triphosphate-bioluminescence-assay-versus-microbiological-sw-peer-reviewed-fulltext-article-RMHP</w:t>
      </w:r>
    </w:p>
    <w:p w14:paraId="1AB34B54" w14:textId="77777777" w:rsidR="00DE34FA" w:rsidRPr="00E00B5E" w:rsidRDefault="00DE34FA" w:rsidP="00DE34FA">
      <w:pPr>
        <w:jc w:val="both"/>
        <w:rPr>
          <w:sz w:val="24"/>
          <w:szCs w:val="24"/>
        </w:rPr>
      </w:pPr>
    </w:p>
    <w:p w14:paraId="0B00FC9A" w14:textId="4099E803" w:rsidR="00E006CC" w:rsidRPr="00E00B5E" w:rsidRDefault="00DE34FA" w:rsidP="00DE34FA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URWPalladioL-Roma" w:eastAsia="URWPalladioL-Roma" w:hAnsiTheme="minorHAnsi" w:cs="URWPalladioL-Roma"/>
          <w:sz w:val="14"/>
          <w:szCs w:val="14"/>
        </w:rPr>
      </w:pPr>
      <w:r w:rsidRPr="00E00B5E">
        <w:rPr>
          <w:sz w:val="24"/>
          <w:szCs w:val="24"/>
        </w:rPr>
        <w:t xml:space="preserve">Corina </w:t>
      </w:r>
      <w:proofErr w:type="spellStart"/>
      <w:r w:rsidRPr="00E00B5E">
        <w:rPr>
          <w:sz w:val="24"/>
          <w:szCs w:val="24"/>
        </w:rPr>
        <w:t>Musuroi</w:t>
      </w:r>
      <w:proofErr w:type="spellEnd"/>
      <w:r w:rsidRPr="00E00B5E">
        <w:rPr>
          <w:sz w:val="24"/>
          <w:szCs w:val="24"/>
        </w:rPr>
        <w:t>,</w:t>
      </w:r>
      <w:r w:rsidRPr="00E00B5E">
        <w:rPr>
          <w:sz w:val="24"/>
          <w:szCs w:val="24"/>
        </w:rPr>
        <w:t xml:space="preserve"> Silvia-Ioana </w:t>
      </w:r>
      <w:proofErr w:type="spellStart"/>
      <w:r w:rsidRPr="00E00B5E">
        <w:rPr>
          <w:sz w:val="24"/>
          <w:szCs w:val="24"/>
        </w:rPr>
        <w:t>Musuroi</w:t>
      </w:r>
      <w:proofErr w:type="spellEnd"/>
      <w:r w:rsidRPr="00E00B5E">
        <w:rPr>
          <w:sz w:val="24"/>
          <w:szCs w:val="24"/>
        </w:rPr>
        <w:t xml:space="preserve">, Luminita </w:t>
      </w:r>
      <w:proofErr w:type="spellStart"/>
      <w:r w:rsidRPr="00E00B5E">
        <w:rPr>
          <w:sz w:val="24"/>
          <w:szCs w:val="24"/>
        </w:rPr>
        <w:t>Baditoiu</w:t>
      </w:r>
      <w:proofErr w:type="spellEnd"/>
      <w:r w:rsidRPr="00E00B5E">
        <w:rPr>
          <w:sz w:val="24"/>
          <w:szCs w:val="24"/>
        </w:rPr>
        <w:t xml:space="preserve">, Zorin </w:t>
      </w:r>
      <w:proofErr w:type="spellStart"/>
      <w:r w:rsidRPr="00E00B5E">
        <w:rPr>
          <w:sz w:val="24"/>
          <w:szCs w:val="24"/>
        </w:rPr>
        <w:t>Crainiceanu</w:t>
      </w:r>
      <w:proofErr w:type="spellEnd"/>
      <w:r w:rsidRPr="00E00B5E">
        <w:rPr>
          <w:sz w:val="24"/>
          <w:szCs w:val="24"/>
        </w:rPr>
        <w:t>, Delia Muntean,</w:t>
      </w:r>
      <w:r w:rsidRPr="00E00B5E">
        <w:rPr>
          <w:sz w:val="24"/>
          <w:szCs w:val="24"/>
        </w:rPr>
        <w:t xml:space="preserve"> A</w:t>
      </w:r>
      <w:r w:rsidRPr="00E00B5E">
        <w:rPr>
          <w:sz w:val="24"/>
          <w:szCs w:val="24"/>
        </w:rPr>
        <w:t xml:space="preserve">dela </w:t>
      </w:r>
      <w:proofErr w:type="spellStart"/>
      <w:r w:rsidRPr="00E00B5E">
        <w:rPr>
          <w:sz w:val="24"/>
          <w:szCs w:val="24"/>
        </w:rPr>
        <w:t>Voinescu</w:t>
      </w:r>
      <w:proofErr w:type="spellEnd"/>
      <w:r w:rsidRPr="00E00B5E">
        <w:rPr>
          <w:sz w:val="24"/>
          <w:szCs w:val="24"/>
        </w:rPr>
        <w:t xml:space="preserve">, Oana </w:t>
      </w:r>
      <w:proofErr w:type="spellStart"/>
      <w:r w:rsidRPr="00E00B5E">
        <w:rPr>
          <w:sz w:val="24"/>
          <w:szCs w:val="24"/>
        </w:rPr>
        <w:t>Izmendi</w:t>
      </w:r>
      <w:proofErr w:type="spellEnd"/>
      <w:r w:rsidRPr="00E00B5E">
        <w:rPr>
          <w:sz w:val="24"/>
          <w:szCs w:val="24"/>
        </w:rPr>
        <w:t xml:space="preserve">, </w:t>
      </w:r>
      <w:r w:rsidRPr="00E00B5E">
        <w:rPr>
          <w:b/>
          <w:bCs/>
          <w:sz w:val="24"/>
          <w:szCs w:val="24"/>
        </w:rPr>
        <w:t>Alexandra Sirmon</w:t>
      </w:r>
      <w:r w:rsidRPr="00E00B5E">
        <w:rPr>
          <w:sz w:val="24"/>
          <w:szCs w:val="24"/>
        </w:rPr>
        <w:t xml:space="preserve">, </w:t>
      </w:r>
      <w:r w:rsidRPr="00E00B5E">
        <w:rPr>
          <w:sz w:val="24"/>
          <w:szCs w:val="24"/>
        </w:rPr>
        <w:t>Monica Licker</w:t>
      </w:r>
      <w:r w:rsidRPr="00E00B5E">
        <w:rPr>
          <w:sz w:val="24"/>
          <w:szCs w:val="24"/>
        </w:rPr>
        <w:t xml:space="preserve">. </w:t>
      </w:r>
      <w:r w:rsidR="00E006CC" w:rsidRPr="00E00B5E">
        <w:rPr>
          <w:sz w:val="24"/>
          <w:szCs w:val="24"/>
        </w:rPr>
        <w:t>The Profile of Bacterial Infections in a Burn Unit during and after the COVID-19 Pandemic Period</w:t>
      </w:r>
      <w:r w:rsidRPr="00E00B5E">
        <w:rPr>
          <w:sz w:val="24"/>
          <w:szCs w:val="24"/>
        </w:rPr>
        <w:t xml:space="preserve">. </w:t>
      </w:r>
      <w:r w:rsidRPr="00E00B5E">
        <w:rPr>
          <w:sz w:val="24"/>
          <w:szCs w:val="24"/>
        </w:rPr>
        <w:t>Antibiotics 2024, 13</w:t>
      </w:r>
      <w:r w:rsidRPr="00E00B5E">
        <w:rPr>
          <w:sz w:val="24"/>
          <w:szCs w:val="24"/>
        </w:rPr>
        <w:t>:</w:t>
      </w:r>
      <w:r w:rsidRPr="00E00B5E">
        <w:rPr>
          <w:sz w:val="24"/>
          <w:szCs w:val="24"/>
        </w:rPr>
        <w:t>823.</w:t>
      </w:r>
      <w:r w:rsidRPr="00E00B5E">
        <w:rPr>
          <w:sz w:val="24"/>
          <w:szCs w:val="24"/>
        </w:rPr>
        <w:t xml:space="preserve"> </w:t>
      </w:r>
      <w:r w:rsidRPr="00E00B5E">
        <w:rPr>
          <w:sz w:val="24"/>
          <w:szCs w:val="24"/>
        </w:rPr>
        <w:t>https://doi.org/10.3390/antibiotics13090823</w:t>
      </w:r>
    </w:p>
    <w:p w14:paraId="28F0E27A" w14:textId="77777777" w:rsidR="00E006CC" w:rsidRPr="00E00B5E" w:rsidRDefault="00E006CC" w:rsidP="00E006CC">
      <w:pPr>
        <w:jc w:val="both"/>
        <w:rPr>
          <w:sz w:val="24"/>
          <w:szCs w:val="24"/>
        </w:rPr>
      </w:pPr>
    </w:p>
    <w:p w14:paraId="3C2D2814" w14:textId="6B669959" w:rsidR="00E006CC" w:rsidRPr="00E00B5E" w:rsidRDefault="00DE34FA" w:rsidP="00DE34FA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E00B5E">
        <w:rPr>
          <w:sz w:val="24"/>
          <w:szCs w:val="24"/>
        </w:rPr>
        <w:t>Stefania Ungureanu, Veronica Ciocan</w:t>
      </w:r>
      <w:r w:rsidRPr="00E00B5E">
        <w:rPr>
          <w:sz w:val="24"/>
          <w:szCs w:val="24"/>
        </w:rPr>
        <w:t xml:space="preserve">, </w:t>
      </w:r>
      <w:r w:rsidRPr="00E00B5E">
        <w:rPr>
          <w:sz w:val="24"/>
          <w:szCs w:val="24"/>
        </w:rPr>
        <w:t xml:space="preserve">Camelia-Oana Muresan, </w:t>
      </w:r>
      <w:proofErr w:type="spellStart"/>
      <w:r w:rsidRPr="00E00B5E">
        <w:rPr>
          <w:sz w:val="24"/>
          <w:szCs w:val="24"/>
        </w:rPr>
        <w:t>Emanuela</w:t>
      </w:r>
      <w:proofErr w:type="spellEnd"/>
      <w:r w:rsidRPr="00E00B5E">
        <w:rPr>
          <w:sz w:val="24"/>
          <w:szCs w:val="24"/>
        </w:rPr>
        <w:t xml:space="preserve"> Stan,</w:t>
      </w:r>
      <w:r w:rsidRPr="00E00B5E">
        <w:rPr>
          <w:sz w:val="24"/>
          <w:szCs w:val="24"/>
        </w:rPr>
        <w:t xml:space="preserve"> </w:t>
      </w:r>
      <w:r w:rsidRPr="00E00B5E">
        <w:rPr>
          <w:rFonts w:hint="eastAsia"/>
          <w:sz w:val="24"/>
          <w:szCs w:val="24"/>
        </w:rPr>
        <w:t>Georgiana-</w:t>
      </w:r>
      <w:proofErr w:type="spellStart"/>
      <w:r w:rsidRPr="00E00B5E">
        <w:rPr>
          <w:rFonts w:hint="eastAsia"/>
          <w:sz w:val="24"/>
          <w:szCs w:val="24"/>
        </w:rPr>
        <w:t>Denisa</w:t>
      </w:r>
      <w:proofErr w:type="spellEnd"/>
      <w:r w:rsidRPr="00E00B5E">
        <w:rPr>
          <w:rFonts w:hint="eastAsia"/>
          <w:sz w:val="24"/>
          <w:szCs w:val="24"/>
        </w:rPr>
        <w:t xml:space="preserve"> </w:t>
      </w:r>
      <w:proofErr w:type="spellStart"/>
      <w:r w:rsidRPr="00E00B5E">
        <w:rPr>
          <w:rFonts w:hint="eastAsia"/>
          <w:sz w:val="24"/>
          <w:szCs w:val="24"/>
        </w:rPr>
        <w:t>Gavrilt</w:t>
      </w:r>
      <w:r w:rsidRPr="00E00B5E">
        <w:rPr>
          <w:sz w:val="24"/>
          <w:szCs w:val="24"/>
        </w:rPr>
        <w:t>ă</w:t>
      </w:r>
      <w:proofErr w:type="spellEnd"/>
      <w:r w:rsidRPr="00E00B5E">
        <w:rPr>
          <w:sz w:val="24"/>
          <w:szCs w:val="24"/>
        </w:rPr>
        <w:t xml:space="preserve">, </w:t>
      </w:r>
      <w:r w:rsidRPr="00E00B5E">
        <w:rPr>
          <w:b/>
          <w:bCs/>
          <w:sz w:val="24"/>
          <w:szCs w:val="24"/>
        </w:rPr>
        <w:t>Alexandra Sirmon</w:t>
      </w:r>
      <w:r w:rsidRPr="00E00B5E">
        <w:rPr>
          <w:sz w:val="24"/>
          <w:szCs w:val="24"/>
        </w:rPr>
        <w:t>,</w:t>
      </w:r>
      <w:r w:rsidRPr="00E00B5E">
        <w:rPr>
          <w:sz w:val="24"/>
          <w:szCs w:val="24"/>
        </w:rPr>
        <w:t xml:space="preserve"> Cristian Pop</w:t>
      </w:r>
      <w:r w:rsidRPr="00E00B5E">
        <w:rPr>
          <w:sz w:val="24"/>
          <w:szCs w:val="24"/>
        </w:rPr>
        <w:t>,</w:t>
      </w:r>
      <w:r w:rsidRPr="00E00B5E">
        <w:rPr>
          <w:sz w:val="24"/>
          <w:szCs w:val="24"/>
        </w:rPr>
        <w:t xml:space="preserve"> Alexandra Enache</w:t>
      </w:r>
      <w:r w:rsidRPr="00E00B5E">
        <w:rPr>
          <w:sz w:val="24"/>
          <w:szCs w:val="24"/>
        </w:rPr>
        <w:t xml:space="preserve">. </w:t>
      </w:r>
      <w:r w:rsidR="00E006CC" w:rsidRPr="00E00B5E">
        <w:rPr>
          <w:sz w:val="24"/>
          <w:szCs w:val="24"/>
        </w:rPr>
        <w:t>Road Fatalities in Children Aged 0–17: Epidemiological Data and Forensic Aspects on a Series of Cases in a Single-Centre in Romania</w:t>
      </w:r>
      <w:r w:rsidRPr="00E00B5E">
        <w:rPr>
          <w:sz w:val="24"/>
          <w:szCs w:val="24"/>
        </w:rPr>
        <w:t xml:space="preserve">. </w:t>
      </w:r>
      <w:r w:rsidRPr="00E00B5E">
        <w:rPr>
          <w:sz w:val="24"/>
          <w:szCs w:val="24"/>
        </w:rPr>
        <w:t>Children</w:t>
      </w:r>
      <w:r w:rsidRPr="00E00B5E">
        <w:rPr>
          <w:sz w:val="24"/>
          <w:szCs w:val="24"/>
        </w:rPr>
        <w:t xml:space="preserve"> </w:t>
      </w:r>
      <w:r w:rsidRPr="00E00B5E">
        <w:rPr>
          <w:sz w:val="24"/>
          <w:szCs w:val="24"/>
        </w:rPr>
        <w:t>2024, 11</w:t>
      </w:r>
      <w:r w:rsidRPr="00E00B5E">
        <w:rPr>
          <w:sz w:val="24"/>
          <w:szCs w:val="24"/>
        </w:rPr>
        <w:t>:</w:t>
      </w:r>
      <w:r w:rsidRPr="00E00B5E">
        <w:rPr>
          <w:sz w:val="24"/>
          <w:szCs w:val="24"/>
        </w:rPr>
        <w:t>1065. https://doi.org/10.3390/children11091065</w:t>
      </w:r>
    </w:p>
    <w:p w14:paraId="38A3335E" w14:textId="77777777" w:rsidR="00E006CC" w:rsidRPr="00E00B5E" w:rsidRDefault="00E006CC" w:rsidP="00E006CC">
      <w:pPr>
        <w:jc w:val="both"/>
        <w:rPr>
          <w:sz w:val="24"/>
          <w:szCs w:val="24"/>
        </w:rPr>
      </w:pPr>
    </w:p>
    <w:p w14:paraId="67F67A0F" w14:textId="226F717D" w:rsidR="00E006CC" w:rsidRPr="00E00B5E" w:rsidRDefault="00E00B5E" w:rsidP="00E00B5E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E00B5E">
        <w:rPr>
          <w:sz w:val="24"/>
          <w:szCs w:val="24"/>
        </w:rPr>
        <w:t>Stefania Ungureanu, Veronica Ciocan</w:t>
      </w:r>
      <w:r w:rsidRPr="00E00B5E">
        <w:rPr>
          <w:sz w:val="24"/>
          <w:szCs w:val="24"/>
        </w:rPr>
        <w:t xml:space="preserve">, </w:t>
      </w:r>
      <w:r w:rsidRPr="00E00B5E">
        <w:rPr>
          <w:sz w:val="24"/>
          <w:szCs w:val="24"/>
        </w:rPr>
        <w:t xml:space="preserve">Camelia-Oana Muresan, </w:t>
      </w:r>
      <w:proofErr w:type="spellStart"/>
      <w:r w:rsidRPr="00E00B5E">
        <w:rPr>
          <w:sz w:val="24"/>
          <w:szCs w:val="24"/>
        </w:rPr>
        <w:t>Emanuela</w:t>
      </w:r>
      <w:proofErr w:type="spellEnd"/>
      <w:r w:rsidRPr="00E00B5E">
        <w:rPr>
          <w:sz w:val="24"/>
          <w:szCs w:val="24"/>
        </w:rPr>
        <w:t xml:space="preserve"> Stan, Georgiana-</w:t>
      </w:r>
      <w:proofErr w:type="spellStart"/>
      <w:r w:rsidRPr="00E00B5E">
        <w:rPr>
          <w:sz w:val="24"/>
          <w:szCs w:val="24"/>
        </w:rPr>
        <w:t>Denisa</w:t>
      </w:r>
      <w:proofErr w:type="spellEnd"/>
      <w:r w:rsidRPr="00E00B5E">
        <w:rPr>
          <w:sz w:val="24"/>
          <w:szCs w:val="24"/>
        </w:rPr>
        <w:t xml:space="preserve"> </w:t>
      </w:r>
      <w:proofErr w:type="spellStart"/>
      <w:r w:rsidRPr="00E00B5E">
        <w:rPr>
          <w:sz w:val="24"/>
          <w:szCs w:val="24"/>
        </w:rPr>
        <w:t>Gavrilită</w:t>
      </w:r>
      <w:proofErr w:type="spellEnd"/>
      <w:r w:rsidRPr="00E00B5E">
        <w:rPr>
          <w:sz w:val="24"/>
          <w:szCs w:val="24"/>
        </w:rPr>
        <w:t xml:space="preserve">, </w:t>
      </w:r>
      <w:r w:rsidRPr="00E00B5E">
        <w:rPr>
          <w:b/>
          <w:bCs/>
          <w:sz w:val="24"/>
          <w:szCs w:val="24"/>
        </w:rPr>
        <w:t>Alexandra Sirmon</w:t>
      </w:r>
      <w:r w:rsidRPr="00E00B5E">
        <w:rPr>
          <w:sz w:val="24"/>
          <w:szCs w:val="24"/>
        </w:rPr>
        <w:t>, Cristian Pop</w:t>
      </w:r>
      <w:r w:rsidRPr="00E00B5E">
        <w:rPr>
          <w:sz w:val="24"/>
          <w:szCs w:val="24"/>
        </w:rPr>
        <w:t>,</w:t>
      </w:r>
      <w:r w:rsidRPr="00E00B5E">
        <w:rPr>
          <w:sz w:val="24"/>
          <w:szCs w:val="24"/>
        </w:rPr>
        <w:t xml:space="preserve"> Alexandra </w:t>
      </w:r>
      <w:proofErr w:type="spellStart"/>
      <w:r w:rsidRPr="00E00B5E">
        <w:rPr>
          <w:sz w:val="24"/>
          <w:szCs w:val="24"/>
        </w:rPr>
        <w:t>Enache</w:t>
      </w:r>
      <w:r w:rsidRPr="00E00B5E">
        <w:rPr>
          <w:sz w:val="24"/>
          <w:szCs w:val="24"/>
        </w:rPr>
        <w:t>.</w:t>
      </w:r>
      <w:r w:rsidR="00E006CC" w:rsidRPr="00E00B5E">
        <w:rPr>
          <w:sz w:val="24"/>
          <w:szCs w:val="24"/>
        </w:rPr>
        <w:t>The</w:t>
      </w:r>
      <w:proofErr w:type="spellEnd"/>
      <w:r w:rsidR="00E006CC" w:rsidRPr="00E00B5E">
        <w:rPr>
          <w:sz w:val="24"/>
          <w:szCs w:val="24"/>
        </w:rPr>
        <w:t xml:space="preserve"> Impact of the COVID-19 Pandemic on Fatal Road-Traffic Accidents: A Five-Year Study on Medicolegal Autopsies in Timis County, Romania</w:t>
      </w:r>
      <w:r w:rsidRPr="00E00B5E">
        <w:rPr>
          <w:sz w:val="24"/>
          <w:szCs w:val="24"/>
        </w:rPr>
        <w:t xml:space="preserve">. </w:t>
      </w:r>
      <w:r w:rsidRPr="00E00B5E">
        <w:rPr>
          <w:sz w:val="24"/>
          <w:szCs w:val="24"/>
        </w:rPr>
        <w:t>Safety 2024, 10</w:t>
      </w:r>
      <w:r w:rsidRPr="00E00B5E">
        <w:rPr>
          <w:sz w:val="24"/>
          <w:szCs w:val="24"/>
        </w:rPr>
        <w:t>:</w:t>
      </w:r>
      <w:r w:rsidRPr="00E00B5E">
        <w:rPr>
          <w:sz w:val="24"/>
          <w:szCs w:val="24"/>
        </w:rPr>
        <w:t>86. https://doi.org/10.3390/ safety10040086</w:t>
      </w:r>
    </w:p>
    <w:p w14:paraId="30983EDB" w14:textId="77777777" w:rsidR="00E01C76" w:rsidRPr="00E00B5E" w:rsidRDefault="00E01C76" w:rsidP="00CD057F">
      <w:pPr>
        <w:rPr>
          <w:sz w:val="24"/>
          <w:szCs w:val="24"/>
        </w:rPr>
      </w:pPr>
    </w:p>
    <w:sectPr w:rsidR="00E01C76" w:rsidRPr="00E00B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AC1CA" w14:textId="77777777" w:rsidR="00923055" w:rsidRDefault="00923055" w:rsidP="00DB7D7B">
      <w:r>
        <w:separator/>
      </w:r>
    </w:p>
  </w:endnote>
  <w:endnote w:type="continuationSeparator" w:id="0">
    <w:p w14:paraId="13132FD0" w14:textId="77777777" w:rsidR="00923055" w:rsidRDefault="00923055" w:rsidP="00DB7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RWPalladioL-Roma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53062" w14:textId="77777777" w:rsidR="00923055" w:rsidRDefault="00923055" w:rsidP="00DB7D7B">
      <w:r>
        <w:separator/>
      </w:r>
    </w:p>
  </w:footnote>
  <w:footnote w:type="continuationSeparator" w:id="0">
    <w:p w14:paraId="5C946AA8" w14:textId="77777777" w:rsidR="00923055" w:rsidRDefault="00923055" w:rsidP="00DB7D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2052B"/>
    <w:multiLevelType w:val="hybridMultilevel"/>
    <w:tmpl w:val="27B6EEF4"/>
    <w:lvl w:ilvl="0" w:tplc="1024B690">
      <w:start w:val="1"/>
      <w:numFmt w:val="decimal"/>
      <w:lvlText w:val="%1."/>
      <w:lvlJc w:val="left"/>
      <w:pPr>
        <w:ind w:left="792" w:hanging="360"/>
      </w:pPr>
      <w:rPr>
        <w:rFonts w:ascii="Tahoma" w:hAnsi="Tahoma" w:hint="default"/>
        <w:b/>
        <w:color w:val="231C17"/>
        <w:sz w:val="23"/>
      </w:rPr>
    </w:lvl>
    <w:lvl w:ilvl="1" w:tplc="04090019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 w15:restartNumberingAfterBreak="0">
    <w:nsid w:val="128B1310"/>
    <w:multiLevelType w:val="hybridMultilevel"/>
    <w:tmpl w:val="27B6EEF4"/>
    <w:lvl w:ilvl="0" w:tplc="FFFFFFFF">
      <w:start w:val="1"/>
      <w:numFmt w:val="decimal"/>
      <w:lvlText w:val="%1."/>
      <w:lvlJc w:val="left"/>
      <w:pPr>
        <w:ind w:left="792" w:hanging="360"/>
      </w:pPr>
      <w:rPr>
        <w:rFonts w:ascii="Tahoma" w:hAnsi="Tahoma" w:hint="default"/>
        <w:b/>
        <w:color w:val="231C17"/>
        <w:sz w:val="23"/>
      </w:rPr>
    </w:lvl>
    <w:lvl w:ilvl="1" w:tplc="FFFFFFFF" w:tentative="1">
      <w:start w:val="1"/>
      <w:numFmt w:val="lowerLetter"/>
      <w:lvlText w:val="%2."/>
      <w:lvlJc w:val="left"/>
      <w:pPr>
        <w:ind w:left="1512" w:hanging="360"/>
      </w:pPr>
    </w:lvl>
    <w:lvl w:ilvl="2" w:tplc="FFFFFFFF" w:tentative="1">
      <w:start w:val="1"/>
      <w:numFmt w:val="lowerRoman"/>
      <w:lvlText w:val="%3."/>
      <w:lvlJc w:val="right"/>
      <w:pPr>
        <w:ind w:left="2232" w:hanging="180"/>
      </w:pPr>
    </w:lvl>
    <w:lvl w:ilvl="3" w:tplc="FFFFFFFF" w:tentative="1">
      <w:start w:val="1"/>
      <w:numFmt w:val="decimal"/>
      <w:lvlText w:val="%4."/>
      <w:lvlJc w:val="left"/>
      <w:pPr>
        <w:ind w:left="2952" w:hanging="360"/>
      </w:pPr>
    </w:lvl>
    <w:lvl w:ilvl="4" w:tplc="FFFFFFFF" w:tentative="1">
      <w:start w:val="1"/>
      <w:numFmt w:val="lowerLetter"/>
      <w:lvlText w:val="%5."/>
      <w:lvlJc w:val="left"/>
      <w:pPr>
        <w:ind w:left="3672" w:hanging="360"/>
      </w:pPr>
    </w:lvl>
    <w:lvl w:ilvl="5" w:tplc="FFFFFFFF" w:tentative="1">
      <w:start w:val="1"/>
      <w:numFmt w:val="lowerRoman"/>
      <w:lvlText w:val="%6."/>
      <w:lvlJc w:val="right"/>
      <w:pPr>
        <w:ind w:left="4392" w:hanging="180"/>
      </w:pPr>
    </w:lvl>
    <w:lvl w:ilvl="6" w:tplc="FFFFFFFF" w:tentative="1">
      <w:start w:val="1"/>
      <w:numFmt w:val="decimal"/>
      <w:lvlText w:val="%7."/>
      <w:lvlJc w:val="left"/>
      <w:pPr>
        <w:ind w:left="5112" w:hanging="360"/>
      </w:pPr>
    </w:lvl>
    <w:lvl w:ilvl="7" w:tplc="FFFFFFFF" w:tentative="1">
      <w:start w:val="1"/>
      <w:numFmt w:val="lowerLetter"/>
      <w:lvlText w:val="%8."/>
      <w:lvlJc w:val="left"/>
      <w:pPr>
        <w:ind w:left="5832" w:hanging="360"/>
      </w:pPr>
    </w:lvl>
    <w:lvl w:ilvl="8" w:tplc="FFFFFFFF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 w15:restartNumberingAfterBreak="0">
    <w:nsid w:val="29B076E5"/>
    <w:multiLevelType w:val="hybridMultilevel"/>
    <w:tmpl w:val="27B6EEF4"/>
    <w:lvl w:ilvl="0" w:tplc="FFFFFFFF">
      <w:start w:val="1"/>
      <w:numFmt w:val="decimal"/>
      <w:lvlText w:val="%1."/>
      <w:lvlJc w:val="left"/>
      <w:pPr>
        <w:ind w:left="792" w:hanging="360"/>
      </w:pPr>
      <w:rPr>
        <w:rFonts w:ascii="Tahoma" w:hAnsi="Tahoma" w:hint="default"/>
        <w:b/>
        <w:color w:val="231C17"/>
        <w:sz w:val="23"/>
      </w:rPr>
    </w:lvl>
    <w:lvl w:ilvl="1" w:tplc="FFFFFFFF" w:tentative="1">
      <w:start w:val="1"/>
      <w:numFmt w:val="lowerLetter"/>
      <w:lvlText w:val="%2."/>
      <w:lvlJc w:val="left"/>
      <w:pPr>
        <w:ind w:left="1512" w:hanging="360"/>
      </w:pPr>
    </w:lvl>
    <w:lvl w:ilvl="2" w:tplc="FFFFFFFF" w:tentative="1">
      <w:start w:val="1"/>
      <w:numFmt w:val="lowerRoman"/>
      <w:lvlText w:val="%3."/>
      <w:lvlJc w:val="right"/>
      <w:pPr>
        <w:ind w:left="2232" w:hanging="180"/>
      </w:pPr>
    </w:lvl>
    <w:lvl w:ilvl="3" w:tplc="FFFFFFFF" w:tentative="1">
      <w:start w:val="1"/>
      <w:numFmt w:val="decimal"/>
      <w:lvlText w:val="%4."/>
      <w:lvlJc w:val="left"/>
      <w:pPr>
        <w:ind w:left="2952" w:hanging="360"/>
      </w:pPr>
    </w:lvl>
    <w:lvl w:ilvl="4" w:tplc="FFFFFFFF" w:tentative="1">
      <w:start w:val="1"/>
      <w:numFmt w:val="lowerLetter"/>
      <w:lvlText w:val="%5."/>
      <w:lvlJc w:val="left"/>
      <w:pPr>
        <w:ind w:left="3672" w:hanging="360"/>
      </w:pPr>
    </w:lvl>
    <w:lvl w:ilvl="5" w:tplc="FFFFFFFF" w:tentative="1">
      <w:start w:val="1"/>
      <w:numFmt w:val="lowerRoman"/>
      <w:lvlText w:val="%6."/>
      <w:lvlJc w:val="right"/>
      <w:pPr>
        <w:ind w:left="4392" w:hanging="180"/>
      </w:pPr>
    </w:lvl>
    <w:lvl w:ilvl="6" w:tplc="FFFFFFFF" w:tentative="1">
      <w:start w:val="1"/>
      <w:numFmt w:val="decimal"/>
      <w:lvlText w:val="%7."/>
      <w:lvlJc w:val="left"/>
      <w:pPr>
        <w:ind w:left="5112" w:hanging="360"/>
      </w:pPr>
    </w:lvl>
    <w:lvl w:ilvl="7" w:tplc="FFFFFFFF" w:tentative="1">
      <w:start w:val="1"/>
      <w:numFmt w:val="lowerLetter"/>
      <w:lvlText w:val="%8."/>
      <w:lvlJc w:val="left"/>
      <w:pPr>
        <w:ind w:left="5832" w:hanging="360"/>
      </w:pPr>
    </w:lvl>
    <w:lvl w:ilvl="8" w:tplc="FFFFFFFF" w:tentative="1">
      <w:start w:val="1"/>
      <w:numFmt w:val="lowerRoman"/>
      <w:lvlText w:val="%9."/>
      <w:lvlJc w:val="right"/>
      <w:pPr>
        <w:ind w:left="6552" w:hanging="180"/>
      </w:pPr>
    </w:lvl>
  </w:abstractNum>
  <w:num w:numId="1" w16cid:durableId="1605110504">
    <w:abstractNumId w:val="0"/>
  </w:num>
  <w:num w:numId="2" w16cid:durableId="2383732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7912296">
    <w:abstractNumId w:val="1"/>
  </w:num>
  <w:num w:numId="4" w16cid:durableId="1760423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F40"/>
    <w:rsid w:val="002D6A37"/>
    <w:rsid w:val="004B3E3F"/>
    <w:rsid w:val="00615C49"/>
    <w:rsid w:val="00707F4B"/>
    <w:rsid w:val="00772990"/>
    <w:rsid w:val="00807B7B"/>
    <w:rsid w:val="008C74C0"/>
    <w:rsid w:val="00923055"/>
    <w:rsid w:val="009D5FDB"/>
    <w:rsid w:val="00A60DD5"/>
    <w:rsid w:val="00AF11DC"/>
    <w:rsid w:val="00BA6D48"/>
    <w:rsid w:val="00BB1F40"/>
    <w:rsid w:val="00C01C9E"/>
    <w:rsid w:val="00C353E9"/>
    <w:rsid w:val="00CD057F"/>
    <w:rsid w:val="00D16DE0"/>
    <w:rsid w:val="00DB7D7B"/>
    <w:rsid w:val="00DE34FA"/>
    <w:rsid w:val="00E006CC"/>
    <w:rsid w:val="00E00B5E"/>
    <w:rsid w:val="00E01C76"/>
    <w:rsid w:val="00F234A4"/>
    <w:rsid w:val="00F72153"/>
    <w:rsid w:val="00F9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13C6C9"/>
  <w15:chartTrackingRefBased/>
  <w15:docId w15:val="{612ABE07-0EFF-4109-B810-9B9E76980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1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2153"/>
    <w:pPr>
      <w:spacing w:after="0" w:line="240" w:lineRule="auto"/>
    </w:pPr>
    <w:rPr>
      <w:rFonts w:ascii="Calibri" w:hAnsi="Calibri" w:cs="Calibri"/>
      <w:kern w:val="0"/>
      <w:sz w:val="22"/>
    </w:rPr>
  </w:style>
  <w:style w:type="paragraph" w:styleId="Heading1">
    <w:name w:val="heading 1"/>
    <w:basedOn w:val="Normal"/>
    <w:link w:val="Heading1Char"/>
    <w:uiPriority w:val="9"/>
    <w:qFormat/>
    <w:rsid w:val="00F7215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215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F7215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006CC"/>
    <w:rPr>
      <w:color w:val="00ABE7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06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26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5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11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1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89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9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4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4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56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65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28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51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89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359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84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77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9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6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7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585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6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13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698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22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073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3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67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637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84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55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ZF">
  <a:themeElements>
    <a:clrScheme name="ZF CD">
      <a:dk1>
        <a:srgbClr val="000000"/>
      </a:dk1>
      <a:lt1>
        <a:srgbClr val="FFFFFF"/>
      </a:lt1>
      <a:dk2>
        <a:srgbClr val="00ABE7"/>
      </a:dk2>
      <a:lt2>
        <a:srgbClr val="BFBFBF"/>
      </a:lt2>
      <a:accent1>
        <a:srgbClr val="7FD5F3"/>
      </a:accent1>
      <a:accent2>
        <a:srgbClr val="BFEAF9"/>
      </a:accent2>
      <a:accent3>
        <a:srgbClr val="1179BF"/>
      </a:accent3>
      <a:accent4>
        <a:srgbClr val="004D7A"/>
      </a:accent4>
      <a:accent5>
        <a:srgbClr val="7FA5BC"/>
      </a:accent5>
      <a:accent6>
        <a:srgbClr val="DD0C29"/>
      </a:accent6>
      <a:hlink>
        <a:srgbClr val="00ABE7"/>
      </a:hlink>
      <a:folHlink>
        <a:srgbClr val="1179BF"/>
      </a:folHlink>
    </a:clrScheme>
    <a:fontScheme name="© ZF Friedrichshafen AG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7FD5F3"/>
        </a:solidFill>
        <a:ln w="12700" cap="flat" cmpd="sng" algn="ctr">
          <a:noFill/>
          <a:prstDash val="solid"/>
        </a:ln>
        <a:effectLst/>
      </a:spPr>
      <a:bodyPr rot="0" spcFirstLastPara="0" vertOverflow="overflow" horzOverflow="overflow" vert="horz" wrap="square" lIns="90000" tIns="90000" rIns="90000" bIns="90000" numCol="1" spcCol="0" rtlCol="0" fromWordArt="0" anchor="ctr" anchorCtr="0" forceAA="0" compatLnSpc="1">
        <a:prstTxWarp prst="textNoShape">
          <a:avLst/>
        </a:prstTxWarp>
        <a:noAutofit/>
      </a:bodyPr>
      <a:lstStyle>
        <a:defPPr marL="0" marR="0" indent="0" algn="ctr" defTabSz="914400" eaLnBrk="1" fontAlgn="base" latinLnBrk="0" hangingPunct="1">
          <a:lnSpc>
            <a:spcPct val="100000"/>
          </a:lnSpc>
          <a:spcBef>
            <a:spcPts val="0"/>
          </a:spcBef>
          <a:spcAft>
            <a:spcPct val="0"/>
          </a:spcAft>
          <a:buClrTx/>
          <a:buSzTx/>
          <a:buFontTx/>
          <a:buNone/>
          <a:tabLst/>
          <a:defRPr kumimoji="0" sz="1200" b="0" i="0" u="none" strike="noStrike" kern="0" cap="none" spc="0" normalizeH="0" baseline="0" noProof="0" dirty="0" err="1" smtClean="0">
            <a:ln>
              <a:noFill/>
            </a:ln>
            <a:solidFill>
              <a:srgbClr val="000000"/>
            </a:solidFill>
            <a:effectLst/>
            <a:uLnTx/>
            <a:uFillTx/>
            <a:latin typeface="Tahoma"/>
            <a:ea typeface="+mn-ea"/>
            <a:cs typeface="Tahoma" pitchFamily="34" charset="0"/>
          </a:defRPr>
        </a:defPPr>
      </a:lstStyle>
    </a:spDef>
    <a:lnDef>
      <a:spPr>
        <a:noFill/>
        <a:ln w="28575" cap="rnd" cmpd="sng" algn="ctr">
          <a:solidFill>
            <a:srgbClr val="00ABE7"/>
          </a:solidFill>
          <a:prstDash val="sysDot"/>
          <a:round/>
        </a:ln>
        <a:effectLst/>
      </a:spPr>
      <a:bodyPr/>
      <a:lstStyle/>
    </a:lnDef>
    <a:txDef>
      <a:spPr>
        <a:noFill/>
      </a:spPr>
      <a:bodyPr wrap="square" lIns="0" tIns="0" rIns="0" bIns="0" rtlCol="0">
        <a:spAutoFit/>
      </a:bodyPr>
      <a:lstStyle>
        <a:defPPr marL="0" marR="0" indent="0" defTabSz="914400" eaLnBrk="1" fontAlgn="base" latinLnBrk="0" hangingPunct="1">
          <a:lnSpc>
            <a:spcPct val="100000"/>
          </a:lnSpc>
          <a:spcBef>
            <a:spcPts val="0"/>
          </a:spcBef>
          <a:spcAft>
            <a:spcPct val="0"/>
          </a:spcAft>
          <a:buClrTx/>
          <a:buSzTx/>
          <a:buFontTx/>
          <a:buNone/>
          <a:tabLst/>
          <a:defRPr kumimoji="0" sz="1200" b="0" i="0" u="none" strike="noStrike" kern="0" cap="none" spc="0" normalizeH="0" baseline="0" noProof="0" dirty="0" smtClean="0">
            <a:ln>
              <a:noFill/>
            </a:ln>
            <a:solidFill>
              <a:srgbClr val="000000"/>
            </a:solidFill>
            <a:effectLst/>
            <a:uLnTx/>
            <a:uFillTx/>
          </a:defRPr>
        </a:defPPr>
      </a:lstStyle>
    </a:txDef>
  </a:objectDefaults>
  <a:extraClrSchemeLst/>
  <a:custClrLst>
    <a:custClr name="ZF Cyan 100%">
      <a:srgbClr val="00ABE7"/>
    </a:custClr>
    <a:custClr name="ZF Cyan 50%">
      <a:srgbClr val="7FD5F3"/>
    </a:custClr>
    <a:custClr name="ZF Cyan 25%">
      <a:srgbClr val="BFEAF9"/>
    </a:custClr>
    <a:custClr>
      <a:srgbClr val="FFFFFF"/>
    </a:custClr>
    <a:custClr name="ZF Blue 100%">
      <a:srgbClr val="1179BF"/>
    </a:custClr>
    <a:custClr name="ZF Blue 50%">
      <a:srgbClr val="81BCDF"/>
    </a:custClr>
    <a:custClr>
      <a:srgbClr val="FFFFFF"/>
    </a:custClr>
    <a:custClr name="Middle Blue 100%">
      <a:srgbClr val="004D7A"/>
    </a:custClr>
    <a:custClr name="Middle Blue 50%">
      <a:srgbClr val="7FA5BC"/>
    </a:custClr>
    <a:custClr>
      <a:srgbClr val="FFFFFF"/>
    </a:custClr>
    <a:custClr name="Black 100%">
      <a:srgbClr val="000000"/>
    </a:custClr>
    <a:custClr name="Black 50%">
      <a:srgbClr val="7F7F7F"/>
    </a:custClr>
    <a:custClr name="Black 25%">
      <a:srgbClr val="BFBFBF"/>
    </a:custClr>
    <a:custClr>
      <a:srgbClr val="FFFFFF"/>
    </a:custClr>
    <a:custClr name="1. Step color gradient">
      <a:srgbClr val="1179BF"/>
    </a:custClr>
    <a:custClr name="2. Step color gradient">
      <a:srgbClr val="004D7A"/>
    </a:custClr>
    <a:custClr name="3. Step color gradient">
      <a:srgbClr val="001024"/>
    </a:custClr>
    <a:custClr>
      <a:srgbClr val="FFFFFF"/>
    </a:custClr>
    <a:custClr name="ZF Red - Only highlight color">
      <a:srgbClr val="DD0C29"/>
    </a:custClr>
  </a:custClrLst>
  <a:extLst>
    <a:ext uri="{05A4C25C-085E-4340-85A3-A5531E510DB2}">
      <thm15:themeFamily xmlns:thm15="http://schemas.microsoft.com/office/thememl/2012/main" name="ZF" id="{D9DB4961-03D2-4AB0-A5F8-B5056FD3896F}" vid="{CBC2B03A-44DE-495B-B9A3-848BC87019E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Sirmon Adrian TMS CDYV221</dc:creator>
  <cp:keywords/>
  <dc:description/>
  <cp:lastModifiedBy>Sirmon Adrian TMS CDYV221</cp:lastModifiedBy>
  <cp:revision>8</cp:revision>
  <cp:lastPrinted>2025-06-13T06:06:00Z</cp:lastPrinted>
  <dcterms:created xsi:type="dcterms:W3CDTF">2024-09-19T17:40:00Z</dcterms:created>
  <dcterms:modified xsi:type="dcterms:W3CDTF">2025-06-15T08:38:00Z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294a1c8-9899-41e7-8f6e-8b1b3c79592a_Enabled">
    <vt:lpwstr>true</vt:lpwstr>
  </property>
  <property fmtid="{D5CDD505-2E9C-101B-9397-08002B2CF9AE}" pid="3" name="MSIP_Label_7294a1c8-9899-41e7-8f6e-8b1b3c79592a_SetDate">
    <vt:lpwstr>2024-09-19T17:41:18Z</vt:lpwstr>
  </property>
  <property fmtid="{D5CDD505-2E9C-101B-9397-08002B2CF9AE}" pid="4" name="MSIP_Label_7294a1c8-9899-41e7-8f6e-8b1b3c79592a_Method">
    <vt:lpwstr>Privileged</vt:lpwstr>
  </property>
  <property fmtid="{D5CDD505-2E9C-101B-9397-08002B2CF9AE}" pid="5" name="MSIP_Label_7294a1c8-9899-41e7-8f6e-8b1b3c79592a_Name">
    <vt:lpwstr>Internal sub2 (no marking)</vt:lpwstr>
  </property>
  <property fmtid="{D5CDD505-2E9C-101B-9397-08002B2CF9AE}" pid="6" name="MSIP_Label_7294a1c8-9899-41e7-8f6e-8b1b3c79592a_SiteId">
    <vt:lpwstr>eb70b763-b6d7-4486-8555-8831709a784e</vt:lpwstr>
  </property>
  <property fmtid="{D5CDD505-2E9C-101B-9397-08002B2CF9AE}" pid="7" name="MSIP_Label_7294a1c8-9899-41e7-8f6e-8b1b3c79592a_ActionId">
    <vt:lpwstr>468e7efa-2428-41af-8733-322ef8aa9655</vt:lpwstr>
  </property>
  <property fmtid="{D5CDD505-2E9C-101B-9397-08002B2CF9AE}" pid="8" name="MSIP_Label_7294a1c8-9899-41e7-8f6e-8b1b3c79592a_ContentBits">
    <vt:lpwstr>0</vt:lpwstr>
  </property>
</Properties>
</file>