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0285F" w14:textId="24023753" w:rsidR="00D65435" w:rsidRDefault="00EC21E3" w:rsidP="00EC21E3">
      <w:pPr>
        <w:jc w:val="center"/>
        <w:rPr>
          <w:b/>
          <w:bCs/>
        </w:rPr>
      </w:pPr>
      <w:r w:rsidRPr="00EC21E3">
        <w:rPr>
          <w:b/>
          <w:bCs/>
        </w:rPr>
        <w:t xml:space="preserve">Lista </w:t>
      </w:r>
      <w:proofErr w:type="spellStart"/>
      <w:r w:rsidRPr="00EC21E3">
        <w:rPr>
          <w:b/>
          <w:bCs/>
        </w:rPr>
        <w:t>lucrarilor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0"/>
      </w:tblGrid>
      <w:tr w:rsidR="00EC21E3" w14:paraId="0185F955" w14:textId="77777777" w:rsidTr="00EC21E3">
        <w:trPr>
          <w:trHeight w:val="4176"/>
        </w:trPr>
        <w:tc>
          <w:tcPr>
            <w:tcW w:w="7730" w:type="dxa"/>
          </w:tcPr>
          <w:p w14:paraId="13FDA39F" w14:textId="77777777" w:rsidR="00EC21E3" w:rsidRPr="00EC21E3" w:rsidRDefault="00EC21E3" w:rsidP="00A879B2">
            <w:pPr>
              <w:pStyle w:val="TableParagraph"/>
              <w:ind w:left="139" w:right="102"/>
              <w:rPr>
                <w:szCs w:val="26"/>
              </w:rPr>
            </w:pPr>
            <w:r w:rsidRPr="00EC21E3">
              <w:rPr>
                <w:color w:val="3E3938"/>
                <w:spacing w:val="-6"/>
                <w:szCs w:val="26"/>
              </w:rPr>
              <w:t>Lazar</w:t>
            </w:r>
            <w:r w:rsidRPr="00EC21E3">
              <w:rPr>
                <w:color w:val="3E3938"/>
                <w:spacing w:val="-2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A,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Sporea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I,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Popa</w:t>
            </w:r>
            <w:r w:rsidRPr="00EC21E3">
              <w:rPr>
                <w:color w:val="3E3938"/>
                <w:spacing w:val="-2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A,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Lupusoru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R,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Gherhardt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D,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Mare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R,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rFonts w:ascii="Arial" w:hAnsi="Arial"/>
                <w:b/>
                <w:color w:val="3E3938"/>
                <w:spacing w:val="-6"/>
                <w:szCs w:val="26"/>
              </w:rPr>
              <w:t>Apostu</w:t>
            </w:r>
            <w:r w:rsidRPr="00EC21E3">
              <w:rPr>
                <w:rFonts w:ascii="Arial" w:hAnsi="Arial"/>
                <w:b/>
                <w:color w:val="3E3938"/>
                <w:spacing w:val="-19"/>
                <w:szCs w:val="26"/>
              </w:rPr>
              <w:t xml:space="preserve"> </w:t>
            </w:r>
            <w:r w:rsidRPr="00EC21E3">
              <w:rPr>
                <w:rFonts w:ascii="Arial" w:hAnsi="Arial"/>
                <w:b/>
                <w:color w:val="3E3938"/>
                <w:spacing w:val="-6"/>
                <w:szCs w:val="26"/>
              </w:rPr>
              <w:t>A</w:t>
            </w:r>
            <w:r w:rsidRPr="00EC21E3">
              <w:rPr>
                <w:color w:val="3E3938"/>
                <w:spacing w:val="-6"/>
                <w:szCs w:val="26"/>
              </w:rPr>
              <w:t>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Hnatiuc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M,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Șirli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R.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 xml:space="preserve">Dynamic </w:t>
            </w:r>
            <w:r w:rsidRPr="00EC21E3">
              <w:rPr>
                <w:color w:val="3E3938"/>
                <w:spacing w:val="-4"/>
                <w:szCs w:val="26"/>
              </w:rPr>
              <w:t>Changes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in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Liver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Stiffness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in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Patients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with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Chronic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Hepatitis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B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Undergoing</w:t>
            </w:r>
            <w:r w:rsidRPr="00EC21E3">
              <w:rPr>
                <w:color w:val="3E3938"/>
                <w:spacing w:val="-21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Antiviral</w:t>
            </w:r>
            <w:r w:rsidRPr="00EC21E3">
              <w:rPr>
                <w:color w:val="3E3938"/>
                <w:spacing w:val="-13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Therapy.</w:t>
            </w:r>
          </w:p>
          <w:p w14:paraId="047AD312" w14:textId="77777777" w:rsidR="00EC21E3" w:rsidRPr="00EC21E3" w:rsidRDefault="00EC21E3" w:rsidP="00A879B2">
            <w:pPr>
              <w:pStyle w:val="TableParagraph"/>
              <w:ind w:left="139" w:right="102"/>
              <w:rPr>
                <w:szCs w:val="26"/>
              </w:rPr>
            </w:pPr>
            <w:r w:rsidRPr="00EC21E3">
              <w:rPr>
                <w:color w:val="3E3938"/>
                <w:spacing w:val="-6"/>
                <w:szCs w:val="26"/>
              </w:rPr>
              <w:t>Diagnostics</w:t>
            </w:r>
            <w:r w:rsidRPr="00EC21E3">
              <w:rPr>
                <w:color w:val="3E3938"/>
                <w:spacing w:val="-13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(Basel).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2022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Oct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31;12(11):2646.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doi: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10.3390/diagnostics12112646.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PMID: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 xml:space="preserve">36359490; </w:t>
            </w:r>
            <w:r w:rsidRPr="00EC21E3">
              <w:rPr>
                <w:color w:val="3E3938"/>
                <w:szCs w:val="26"/>
              </w:rPr>
              <w:t>PMCID: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zCs w:val="26"/>
              </w:rPr>
              <w:t>PMC9689248.</w:t>
            </w:r>
          </w:p>
          <w:p w14:paraId="770017E0" w14:textId="77777777" w:rsidR="00EC21E3" w:rsidRPr="00EC21E3" w:rsidRDefault="00EC21E3" w:rsidP="00A879B2">
            <w:pPr>
              <w:pStyle w:val="TableParagraph"/>
              <w:spacing w:before="53"/>
              <w:rPr>
                <w:rFonts w:ascii="Times New Roman"/>
                <w:szCs w:val="26"/>
              </w:rPr>
            </w:pPr>
          </w:p>
          <w:p w14:paraId="59A0F15F" w14:textId="77777777" w:rsidR="00EC21E3" w:rsidRPr="00EC21E3" w:rsidRDefault="00EC21E3" w:rsidP="00A879B2">
            <w:pPr>
              <w:pStyle w:val="TableParagraph"/>
              <w:ind w:left="139" w:right="102" w:firstLine="36"/>
              <w:rPr>
                <w:szCs w:val="26"/>
              </w:rPr>
            </w:pPr>
            <w:r w:rsidRPr="00EC21E3">
              <w:rPr>
                <w:rFonts w:ascii="Arial" w:hAnsi="Arial"/>
                <w:b/>
                <w:color w:val="3E3938"/>
                <w:spacing w:val="-8"/>
                <w:szCs w:val="26"/>
              </w:rPr>
              <w:t>Apostu</w:t>
            </w:r>
            <w:r w:rsidRPr="00EC21E3">
              <w:rPr>
                <w:rFonts w:ascii="Arial" w:hAnsi="Arial"/>
                <w:b/>
                <w:color w:val="3E3938"/>
                <w:spacing w:val="-15"/>
                <w:szCs w:val="26"/>
              </w:rPr>
              <w:t xml:space="preserve"> </w:t>
            </w:r>
            <w:r w:rsidRPr="00EC21E3">
              <w:rPr>
                <w:rFonts w:ascii="Arial" w:hAnsi="Arial"/>
                <w:b/>
                <w:color w:val="3E3938"/>
                <w:spacing w:val="-8"/>
                <w:szCs w:val="26"/>
              </w:rPr>
              <w:t>A</w:t>
            </w:r>
            <w:r w:rsidRPr="00EC21E3">
              <w:rPr>
                <w:color w:val="3E3938"/>
                <w:spacing w:val="-8"/>
                <w:szCs w:val="26"/>
              </w:rPr>
              <w:t>, Malita D,</w:t>
            </w:r>
            <w:r w:rsidRPr="00EC21E3">
              <w:rPr>
                <w:color w:val="3E3938"/>
                <w:spacing w:val="-17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Arnautu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SF,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Tomescu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MC, Gaiță D, Popescu</w:t>
            </w:r>
            <w:r w:rsidRPr="00EC21E3">
              <w:rPr>
                <w:color w:val="3E3938"/>
                <w:spacing w:val="-17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A,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Mare R, Gidea R,</w:t>
            </w:r>
            <w:r w:rsidRPr="00EC21E3">
              <w:rPr>
                <w:color w:val="3E3938"/>
                <w:spacing w:val="-17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 xml:space="preserve">Arnautu DA. </w:t>
            </w:r>
            <w:r w:rsidRPr="00EC21E3">
              <w:rPr>
                <w:color w:val="3E3938"/>
                <w:spacing w:val="-6"/>
                <w:szCs w:val="26"/>
              </w:rPr>
              <w:t>Significant</w:t>
            </w:r>
            <w:r w:rsidRPr="00EC21E3">
              <w:rPr>
                <w:color w:val="3E3938"/>
                <w:spacing w:val="-16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Association between Subclinical Left Cardiac Dysfunction and Liver Stiffness in Metabolic Syndrome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Patients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with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Diabetes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Mellitus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and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Non-Alcoholic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Fatty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Liver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Disease.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Medicina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 xml:space="preserve">(Kaunas). </w:t>
            </w:r>
            <w:r w:rsidRPr="00EC21E3">
              <w:rPr>
                <w:color w:val="3E3938"/>
                <w:spacing w:val="-4"/>
                <w:szCs w:val="26"/>
              </w:rPr>
              <w:t>2023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Feb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9;59(2):328.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doi: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10.3390/medicina59020328.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PMID: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36837528;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PMCID: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PMC9961822.</w:t>
            </w:r>
            <w:r w:rsidRPr="00EC21E3">
              <w:rPr>
                <w:color w:val="3E3938"/>
                <w:spacing w:val="2"/>
                <w:szCs w:val="26"/>
              </w:rPr>
              <w:t xml:space="preserve"> </w:t>
            </w:r>
            <w:hyperlink r:id="rId4">
              <w:r w:rsidRPr="00EC21E3">
                <w:rPr>
                  <w:color w:val="3E3938"/>
                  <w:spacing w:val="-4"/>
                  <w:szCs w:val="26"/>
                </w:rPr>
                <w:t>-</w:t>
              </w:r>
            </w:hyperlink>
            <w:r w:rsidRPr="00EC21E3">
              <w:rPr>
                <w:color w:val="3E3938"/>
                <w:spacing w:val="-4"/>
                <w:szCs w:val="26"/>
              </w:rPr>
              <w:t xml:space="preserve"> </w:t>
            </w:r>
            <w:hyperlink r:id="rId5">
              <w:r w:rsidRPr="00EC21E3">
                <w:rPr>
                  <w:color w:val="3E3938"/>
                  <w:szCs w:val="26"/>
                </w:rPr>
                <w:t>IF - 2,9</w:t>
              </w:r>
            </w:hyperlink>
            <w:r w:rsidRPr="00EC21E3">
              <w:rPr>
                <w:color w:val="3E3938"/>
                <w:szCs w:val="26"/>
              </w:rPr>
              <w:t>48</w:t>
            </w:r>
          </w:p>
          <w:p w14:paraId="0E58B33D" w14:textId="77777777" w:rsidR="00EC21E3" w:rsidRPr="00EC21E3" w:rsidRDefault="00EC21E3" w:rsidP="00A879B2">
            <w:pPr>
              <w:pStyle w:val="TableParagraph"/>
              <w:spacing w:before="129"/>
              <w:rPr>
                <w:rFonts w:ascii="Times New Roman"/>
                <w:szCs w:val="26"/>
              </w:rPr>
            </w:pPr>
          </w:p>
          <w:p w14:paraId="7BE0E9F2" w14:textId="77777777" w:rsidR="00EC21E3" w:rsidRPr="00EC21E3" w:rsidRDefault="00EC21E3" w:rsidP="00A879B2">
            <w:pPr>
              <w:pStyle w:val="TableParagraph"/>
              <w:ind w:left="139" w:firstLine="27"/>
              <w:rPr>
                <w:szCs w:val="26"/>
              </w:rPr>
            </w:pPr>
            <w:r w:rsidRPr="00EC21E3">
              <w:rPr>
                <w:color w:val="3E3938"/>
                <w:spacing w:val="-8"/>
                <w:szCs w:val="26"/>
              </w:rPr>
              <w:t>Cozma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GV,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rFonts w:ascii="Arial" w:hAnsi="Arial"/>
                <w:b/>
                <w:color w:val="3E3938"/>
                <w:spacing w:val="-8"/>
                <w:szCs w:val="26"/>
              </w:rPr>
              <w:t>Apostu</w:t>
            </w:r>
            <w:r w:rsidRPr="00EC21E3">
              <w:rPr>
                <w:rFonts w:ascii="Arial" w:hAnsi="Arial"/>
                <w:b/>
                <w:color w:val="3E3938"/>
                <w:spacing w:val="-19"/>
                <w:szCs w:val="26"/>
              </w:rPr>
              <w:t xml:space="preserve"> </w:t>
            </w:r>
            <w:r w:rsidRPr="00EC21E3">
              <w:rPr>
                <w:rFonts w:ascii="Arial" w:hAnsi="Arial"/>
                <w:b/>
                <w:color w:val="3E3938"/>
                <w:spacing w:val="-8"/>
                <w:szCs w:val="26"/>
              </w:rPr>
              <w:t>A</w:t>
            </w:r>
            <w:r w:rsidRPr="00EC21E3">
              <w:rPr>
                <w:color w:val="3E3938"/>
                <w:spacing w:val="-8"/>
                <w:szCs w:val="26"/>
              </w:rPr>
              <w:t>,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Macasoi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I,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Dehelean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CA,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Cretu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OM,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Dinu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S,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Gaiță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D,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Manea</w:t>
            </w:r>
            <w:r w:rsidRPr="00EC21E3">
              <w:rPr>
                <w:color w:val="3E3938"/>
                <w:spacing w:val="-2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A.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In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Vitro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and</w:t>
            </w:r>
            <w:r w:rsidRPr="00EC21E3">
              <w:rPr>
                <w:color w:val="3E3938"/>
                <w:spacing w:val="-14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 xml:space="preserve">In </w:t>
            </w:r>
            <w:r w:rsidRPr="00EC21E3">
              <w:rPr>
                <w:color w:val="3E3938"/>
                <w:spacing w:val="-4"/>
                <w:szCs w:val="26"/>
              </w:rPr>
              <w:t>Ovo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Evaluation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of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the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Potential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Hepatoprotective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Effect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of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Metformin.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Medicina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(Kaunas).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2022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 xml:space="preserve">May </w:t>
            </w:r>
            <w:r w:rsidRPr="00EC21E3">
              <w:rPr>
                <w:color w:val="3E3938"/>
                <w:spacing w:val="-6"/>
                <w:szCs w:val="26"/>
              </w:rPr>
              <w:t>25;58(6):705.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doi:</w:t>
            </w:r>
            <w:r w:rsidRPr="00EC21E3">
              <w:rPr>
                <w:color w:val="3E3938"/>
                <w:spacing w:val="-7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10.3390/medicina58060705.</w:t>
            </w:r>
            <w:r w:rsidRPr="00EC21E3">
              <w:rPr>
                <w:color w:val="3E3938"/>
                <w:spacing w:val="-7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PMID: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35743967; PMCID: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PMC9228172.</w:t>
            </w:r>
            <w:r w:rsidRPr="00EC21E3">
              <w:rPr>
                <w:color w:val="3E3938"/>
                <w:spacing w:val="40"/>
                <w:szCs w:val="26"/>
              </w:rPr>
              <w:t xml:space="preserve"> </w:t>
            </w:r>
            <w:hyperlink r:id="rId6">
              <w:r w:rsidRPr="00EC21E3">
                <w:rPr>
                  <w:color w:val="3E3938"/>
                  <w:spacing w:val="-6"/>
                  <w:szCs w:val="26"/>
                </w:rPr>
                <w:t>-</w:t>
              </w:r>
              <w:r w:rsidRPr="00EC21E3">
                <w:rPr>
                  <w:color w:val="3E3938"/>
                  <w:spacing w:val="-7"/>
                  <w:szCs w:val="26"/>
                </w:rPr>
                <w:t xml:space="preserve"> </w:t>
              </w:r>
              <w:r w:rsidRPr="00EC21E3">
                <w:rPr>
                  <w:color w:val="3E3938"/>
                  <w:spacing w:val="-6"/>
                  <w:szCs w:val="26"/>
                </w:rPr>
                <w:t>IF</w:t>
              </w:r>
              <w:r w:rsidRPr="00EC21E3">
                <w:rPr>
                  <w:color w:val="3E3938"/>
                  <w:spacing w:val="-7"/>
                  <w:szCs w:val="26"/>
                </w:rPr>
                <w:t xml:space="preserve"> </w:t>
              </w:r>
              <w:r w:rsidRPr="00EC21E3">
                <w:rPr>
                  <w:color w:val="3E3938"/>
                  <w:spacing w:val="-6"/>
                  <w:szCs w:val="26"/>
                </w:rPr>
                <w:t>-</w:t>
              </w:r>
              <w:r w:rsidRPr="00EC21E3">
                <w:rPr>
                  <w:color w:val="3E3938"/>
                  <w:spacing w:val="-9"/>
                  <w:szCs w:val="26"/>
                </w:rPr>
                <w:t xml:space="preserve"> </w:t>
              </w:r>
              <w:r w:rsidRPr="00EC21E3">
                <w:rPr>
                  <w:color w:val="3E3938"/>
                  <w:spacing w:val="-6"/>
                  <w:szCs w:val="26"/>
                </w:rPr>
                <w:t>2,9</w:t>
              </w:r>
            </w:hyperlink>
            <w:r w:rsidRPr="00EC21E3">
              <w:rPr>
                <w:color w:val="3E3938"/>
                <w:spacing w:val="-6"/>
                <w:szCs w:val="26"/>
              </w:rPr>
              <w:t>48</w:t>
            </w:r>
          </w:p>
          <w:p w14:paraId="7E7BF15B" w14:textId="77777777" w:rsidR="00EC21E3" w:rsidRPr="00EC21E3" w:rsidRDefault="00EC21E3" w:rsidP="00A879B2">
            <w:pPr>
              <w:pStyle w:val="TableParagraph"/>
              <w:rPr>
                <w:rFonts w:ascii="Times New Roman"/>
                <w:szCs w:val="26"/>
              </w:rPr>
            </w:pPr>
          </w:p>
          <w:p w14:paraId="73E7276B" w14:textId="77777777" w:rsidR="00EC21E3" w:rsidRPr="00EC21E3" w:rsidRDefault="00EC21E3" w:rsidP="00A879B2">
            <w:pPr>
              <w:pStyle w:val="TableParagraph"/>
              <w:spacing w:before="44"/>
              <w:rPr>
                <w:rFonts w:ascii="Times New Roman"/>
                <w:szCs w:val="26"/>
              </w:rPr>
            </w:pPr>
          </w:p>
          <w:p w14:paraId="05E01B5A" w14:textId="77777777" w:rsidR="00EC21E3" w:rsidRPr="00EC21E3" w:rsidRDefault="00EC21E3" w:rsidP="00A879B2">
            <w:pPr>
              <w:pStyle w:val="TableParagraph"/>
              <w:spacing w:line="206" w:lineRule="exact"/>
              <w:ind w:left="139" w:firstLine="31"/>
              <w:rPr>
                <w:szCs w:val="26"/>
              </w:rPr>
            </w:pPr>
            <w:r w:rsidRPr="00EC21E3">
              <w:rPr>
                <w:rFonts w:ascii="Arial" w:hAnsi="Arial"/>
                <w:b/>
                <w:color w:val="3E3938"/>
                <w:spacing w:val="-4"/>
                <w:szCs w:val="26"/>
              </w:rPr>
              <w:t>Alexandru</w:t>
            </w:r>
            <w:r w:rsidRPr="00EC21E3">
              <w:rPr>
                <w:rFonts w:ascii="Arial" w:hAnsi="Arial"/>
                <w:b/>
                <w:color w:val="3E3938"/>
                <w:spacing w:val="-16"/>
                <w:szCs w:val="26"/>
              </w:rPr>
              <w:t xml:space="preserve"> </w:t>
            </w:r>
            <w:r w:rsidRPr="00EC21E3">
              <w:rPr>
                <w:rFonts w:ascii="Arial" w:hAnsi="Arial"/>
                <w:b/>
                <w:color w:val="3E3938"/>
                <w:spacing w:val="-4"/>
                <w:szCs w:val="26"/>
              </w:rPr>
              <w:t>Apostu</w:t>
            </w:r>
            <w:r w:rsidRPr="00EC21E3">
              <w:rPr>
                <w:color w:val="3E3938"/>
                <w:spacing w:val="-4"/>
                <w:szCs w:val="26"/>
              </w:rPr>
              <w:t>,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Roxana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Buzatu,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Madalina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Cabuta,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Ioana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Macasoi,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Stefania</w:t>
            </w:r>
            <w:r w:rsidRPr="00EC21E3">
              <w:rPr>
                <w:color w:val="3E3938"/>
                <w:spacing w:val="-8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>Dinu,</w:t>
            </w:r>
            <w:r w:rsidRPr="00EC21E3">
              <w:rPr>
                <w:color w:val="3E3938"/>
                <w:spacing w:val="-22"/>
                <w:szCs w:val="26"/>
              </w:rPr>
              <w:t xml:space="preserve"> </w:t>
            </w:r>
            <w:r w:rsidRPr="00EC21E3">
              <w:rPr>
                <w:color w:val="3E3938"/>
                <w:spacing w:val="-4"/>
                <w:szCs w:val="26"/>
              </w:rPr>
              <w:t xml:space="preserve">Andrada </w:t>
            </w:r>
            <w:r w:rsidRPr="00EC21E3">
              <w:rPr>
                <w:color w:val="3E3938"/>
                <w:spacing w:val="-8"/>
                <w:szCs w:val="26"/>
              </w:rPr>
              <w:t>Iftode, Horațiu Cristian Mânea, Dan Ion Gaita, Sorin Dan Chiriac. In Vitro</w:t>
            </w:r>
            <w:r w:rsidRPr="00EC21E3">
              <w:rPr>
                <w:color w:val="3E3938"/>
                <w:spacing w:val="-17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>Assessment Of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8"/>
                <w:szCs w:val="26"/>
              </w:rPr>
              <w:t xml:space="preserve">The Potential </w:t>
            </w:r>
            <w:r w:rsidRPr="00EC21E3">
              <w:rPr>
                <w:color w:val="3E3938"/>
                <w:spacing w:val="-6"/>
                <w:szCs w:val="26"/>
              </w:rPr>
              <w:t>Cytotoxic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Effect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Of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Metformin</w:t>
            </w:r>
            <w:r w:rsidRPr="00EC21E3">
              <w:rPr>
                <w:color w:val="3E3938"/>
                <w:spacing w:val="-9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On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Colorectal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Cancer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Cells</w:t>
            </w:r>
            <w:r w:rsidRPr="00EC21E3">
              <w:rPr>
                <w:color w:val="3E3938"/>
                <w:spacing w:val="35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doi:10.31925/Farmacia.2023.1.7</w:t>
            </w:r>
            <w:r w:rsidRPr="00EC21E3">
              <w:rPr>
                <w:color w:val="3E3938"/>
                <w:spacing w:val="-11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–</w:t>
            </w:r>
            <w:r w:rsidRPr="00EC21E3">
              <w:rPr>
                <w:color w:val="3E3938"/>
                <w:spacing w:val="-10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IF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-</w:t>
            </w:r>
            <w:r w:rsidRPr="00EC21E3">
              <w:rPr>
                <w:color w:val="3E3938"/>
                <w:spacing w:val="-12"/>
                <w:szCs w:val="26"/>
              </w:rPr>
              <w:t xml:space="preserve"> </w:t>
            </w:r>
            <w:r w:rsidRPr="00EC21E3">
              <w:rPr>
                <w:color w:val="3E3938"/>
                <w:spacing w:val="-6"/>
                <w:szCs w:val="26"/>
              </w:rPr>
              <w:t>1,55</w:t>
            </w:r>
          </w:p>
        </w:tc>
      </w:tr>
    </w:tbl>
    <w:p w14:paraId="21F01FB8" w14:textId="77777777" w:rsidR="00EC21E3" w:rsidRPr="00EC21E3" w:rsidRDefault="00EC21E3" w:rsidP="00EC21E3">
      <w:pPr>
        <w:rPr>
          <w:b/>
          <w:bCs/>
        </w:rPr>
      </w:pPr>
    </w:p>
    <w:sectPr w:rsidR="00EC21E3" w:rsidRPr="00EC2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1E3"/>
    <w:rsid w:val="000C6500"/>
    <w:rsid w:val="00284EE2"/>
    <w:rsid w:val="0034171E"/>
    <w:rsid w:val="007368C2"/>
    <w:rsid w:val="00D65435"/>
    <w:rsid w:val="00EC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93CAA"/>
  <w15:chartTrackingRefBased/>
  <w15:docId w15:val="{0D08BD0B-9F27-4986-BE08-4D070CFB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21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1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1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1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1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1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1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1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1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1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1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1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1E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1E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1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1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1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1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21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2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1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1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21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21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21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21E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1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1E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21E3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EC21E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38/s41598-020-73946-9%20-%20IF%20-%204%2C379" TargetMode="External"/><Relationship Id="rId5" Type="http://schemas.openxmlformats.org/officeDocument/2006/relationships/hyperlink" Target="https://doi.org/10.1038/s41598-020-73946-9%20-%20IF%20-%204%2C379" TargetMode="External"/><Relationship Id="rId4" Type="http://schemas.openxmlformats.org/officeDocument/2006/relationships/hyperlink" Target="https://doi.org/10.1038/s41598-020-73946-9%20-%20IF%20-%204%2C3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Apostu</dc:creator>
  <cp:keywords/>
  <dc:description/>
  <cp:lastModifiedBy>Alexandru Apostu</cp:lastModifiedBy>
  <cp:revision>1</cp:revision>
  <cp:lastPrinted>2025-06-02T07:44:00Z</cp:lastPrinted>
  <dcterms:created xsi:type="dcterms:W3CDTF">2025-06-02T07:44:00Z</dcterms:created>
  <dcterms:modified xsi:type="dcterms:W3CDTF">2025-06-02T07:45:00Z</dcterms:modified>
</cp:coreProperties>
</file>