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613" w:rsidRPr="00973090" w:rsidRDefault="00111613" w:rsidP="00111613">
      <w:pPr>
        <w:autoSpaceDE w:val="0"/>
        <w:autoSpaceDN w:val="0"/>
        <w:adjustRightInd w:val="0"/>
        <w:spacing w:line="320" w:lineRule="atLeast"/>
        <w:jc w:val="both"/>
        <w:rPr>
          <w:noProof/>
          <w:lang w:val="ro-RO"/>
        </w:rPr>
      </w:pPr>
      <w:r w:rsidRPr="00973090">
        <w:rPr>
          <w:noProof/>
          <w:lang w:val="ro-RO"/>
        </w:rPr>
        <w:t>Universitatea de Medicină și Farmacie Victor Babeș Timișoara</w:t>
      </w:r>
    </w:p>
    <w:p w:rsidR="00111613" w:rsidRPr="00973090" w:rsidRDefault="00111613" w:rsidP="00111613">
      <w:pPr>
        <w:autoSpaceDE w:val="0"/>
        <w:autoSpaceDN w:val="0"/>
        <w:adjustRightInd w:val="0"/>
        <w:spacing w:line="320" w:lineRule="atLeast"/>
        <w:jc w:val="both"/>
        <w:rPr>
          <w:noProof/>
          <w:lang w:val="ro-RO"/>
        </w:rPr>
      </w:pPr>
      <w:r w:rsidRPr="00973090">
        <w:rPr>
          <w:noProof/>
          <w:lang w:val="ro-RO"/>
        </w:rPr>
        <w:t>Facultatea de Medicină Generală</w:t>
      </w:r>
    </w:p>
    <w:p w:rsidR="00111613" w:rsidRPr="00973090" w:rsidRDefault="00111613" w:rsidP="00111613">
      <w:pPr>
        <w:autoSpaceDE w:val="0"/>
        <w:autoSpaceDN w:val="0"/>
        <w:adjustRightInd w:val="0"/>
        <w:spacing w:line="320" w:lineRule="atLeast"/>
        <w:jc w:val="both"/>
        <w:rPr>
          <w:noProof/>
          <w:lang w:val="ro-RO"/>
        </w:rPr>
      </w:pPr>
      <w:r w:rsidRPr="00973090">
        <w:rPr>
          <w:noProof/>
          <w:lang w:val="ro-RO"/>
        </w:rPr>
        <w:t>Departament IX</w:t>
      </w:r>
      <w:r>
        <w:rPr>
          <w:noProof/>
          <w:lang w:val="ro-RO"/>
        </w:rPr>
        <w:t xml:space="preserve"> – Chirurgie I</w:t>
      </w:r>
    </w:p>
    <w:p w:rsidR="00111613" w:rsidRPr="00973090" w:rsidRDefault="00111613" w:rsidP="00111613">
      <w:pPr>
        <w:autoSpaceDE w:val="0"/>
        <w:autoSpaceDN w:val="0"/>
        <w:adjustRightInd w:val="0"/>
        <w:spacing w:line="320" w:lineRule="atLeast"/>
        <w:jc w:val="both"/>
        <w:rPr>
          <w:noProof/>
          <w:lang w:val="ro-RO"/>
        </w:rPr>
      </w:pPr>
      <w:r w:rsidRPr="00973090">
        <w:rPr>
          <w:noProof/>
          <w:lang w:val="ro-RO"/>
        </w:rPr>
        <w:t xml:space="preserve">Nume, prenume: Dan </w:t>
      </w:r>
      <w:r>
        <w:rPr>
          <w:noProof/>
          <w:lang w:val="ro-RO"/>
        </w:rPr>
        <w:t>Cristina Ana-Maria</w:t>
      </w:r>
    </w:p>
    <w:p w:rsidR="00111613" w:rsidRPr="00973090" w:rsidRDefault="00111613" w:rsidP="00111613">
      <w:pPr>
        <w:autoSpaceDE w:val="0"/>
        <w:autoSpaceDN w:val="0"/>
        <w:adjustRightInd w:val="0"/>
        <w:spacing w:line="320" w:lineRule="atLeast"/>
        <w:jc w:val="both"/>
        <w:rPr>
          <w:noProof/>
          <w:lang w:val="ro-RO"/>
        </w:rPr>
      </w:pPr>
    </w:p>
    <w:p w:rsidR="00111613" w:rsidRPr="00973090" w:rsidRDefault="00111613" w:rsidP="00111613">
      <w:pPr>
        <w:autoSpaceDE w:val="0"/>
        <w:autoSpaceDN w:val="0"/>
        <w:adjustRightInd w:val="0"/>
        <w:spacing w:line="320" w:lineRule="atLeast"/>
        <w:jc w:val="both"/>
        <w:rPr>
          <w:noProof/>
          <w:lang w:val="ro-RO"/>
        </w:rPr>
      </w:pPr>
    </w:p>
    <w:p w:rsidR="00111613" w:rsidRPr="00973090" w:rsidRDefault="00111613" w:rsidP="00111613">
      <w:pPr>
        <w:autoSpaceDE w:val="0"/>
        <w:autoSpaceDN w:val="0"/>
        <w:adjustRightInd w:val="0"/>
        <w:spacing w:line="320" w:lineRule="atLeast"/>
        <w:jc w:val="center"/>
        <w:rPr>
          <w:b/>
          <w:noProof/>
          <w:spacing w:val="100"/>
          <w:sz w:val="32"/>
          <w:szCs w:val="32"/>
          <w:lang w:val="ro-RO"/>
        </w:rPr>
      </w:pPr>
      <w:r w:rsidRPr="00973090">
        <w:rPr>
          <w:b/>
          <w:noProof/>
          <w:spacing w:val="100"/>
          <w:sz w:val="32"/>
          <w:szCs w:val="32"/>
          <w:lang w:val="ro-RO"/>
        </w:rPr>
        <w:t>LISTA</w:t>
      </w:r>
    </w:p>
    <w:p w:rsidR="00111613" w:rsidRDefault="00111613" w:rsidP="00111613">
      <w:pPr>
        <w:autoSpaceDE w:val="0"/>
        <w:autoSpaceDN w:val="0"/>
        <w:adjustRightInd w:val="0"/>
        <w:spacing w:line="320" w:lineRule="atLeast"/>
        <w:jc w:val="center"/>
        <w:rPr>
          <w:b/>
          <w:sz w:val="28"/>
          <w:szCs w:val="28"/>
          <w:lang w:val="ro-RO"/>
        </w:rPr>
      </w:pPr>
      <w:r w:rsidRPr="00973090">
        <w:rPr>
          <w:b/>
          <w:sz w:val="28"/>
          <w:szCs w:val="28"/>
          <w:lang w:val="ro-RO"/>
        </w:rPr>
        <w:t>lucrărilor ştiinţifice în domeniul disciplinelor din postul didactic</w:t>
      </w:r>
    </w:p>
    <w:p w:rsidR="00111613" w:rsidRDefault="00111613" w:rsidP="00111613">
      <w:pPr>
        <w:autoSpaceDE w:val="0"/>
        <w:autoSpaceDN w:val="0"/>
        <w:adjustRightInd w:val="0"/>
        <w:spacing w:line="320" w:lineRule="atLeast"/>
        <w:jc w:val="center"/>
        <w:rPr>
          <w:b/>
          <w:sz w:val="28"/>
          <w:szCs w:val="28"/>
          <w:lang w:val="ro-RO"/>
        </w:rPr>
      </w:pPr>
    </w:p>
    <w:p w:rsidR="00111613" w:rsidRDefault="00111613" w:rsidP="00111613">
      <w:pPr>
        <w:autoSpaceDE w:val="0"/>
        <w:autoSpaceDN w:val="0"/>
        <w:adjustRightInd w:val="0"/>
        <w:spacing w:line="320" w:lineRule="atLeast"/>
        <w:jc w:val="center"/>
        <w:rPr>
          <w:b/>
          <w:sz w:val="28"/>
          <w:szCs w:val="28"/>
          <w:lang w:val="ro-RO"/>
        </w:rPr>
      </w:pPr>
    </w:p>
    <w:p w:rsidR="00111613" w:rsidRPr="009B1E1F" w:rsidRDefault="00111613" w:rsidP="00111613">
      <w:pPr>
        <w:pStyle w:val="ListParagraph"/>
        <w:suppressAutoHyphens/>
        <w:autoSpaceDE w:val="0"/>
        <w:spacing w:after="200" w:line="276" w:lineRule="auto"/>
        <w:jc w:val="both"/>
        <w:rPr>
          <w:color w:val="000000"/>
        </w:rPr>
      </w:pPr>
      <w:r w:rsidRPr="004A78BB">
        <w:rPr>
          <w:b/>
          <w:noProof/>
          <w:spacing w:val="-2"/>
          <w:lang w:val="ro-RO"/>
        </w:rPr>
        <w:t xml:space="preserve">Articole </w:t>
      </w:r>
      <w:r w:rsidRPr="004A78BB">
        <w:rPr>
          <w:b/>
          <w:lang w:val="ro-RO"/>
        </w:rPr>
        <w:t>publicate in extenso:</w:t>
      </w:r>
    </w:p>
    <w:p w:rsidR="00111613" w:rsidRPr="009B1E1F" w:rsidRDefault="00111613" w:rsidP="00111613">
      <w:pPr>
        <w:pStyle w:val="ListParagraph"/>
        <w:suppressAutoHyphens/>
        <w:autoSpaceDE w:val="0"/>
        <w:spacing w:after="200" w:line="276" w:lineRule="auto"/>
        <w:jc w:val="both"/>
        <w:rPr>
          <w:color w:val="000000"/>
        </w:rPr>
      </w:pPr>
    </w:p>
    <w:p w:rsidR="00111613" w:rsidRDefault="00111613" w:rsidP="00111613">
      <w:pPr>
        <w:pStyle w:val="ListParagraph"/>
        <w:numPr>
          <w:ilvl w:val="0"/>
          <w:numId w:val="2"/>
        </w:numPr>
        <w:tabs>
          <w:tab w:val="left" w:pos="142"/>
          <w:tab w:val="left" w:pos="399"/>
        </w:tabs>
        <w:spacing w:line="320" w:lineRule="atLeast"/>
        <w:jc w:val="both"/>
        <w:rPr>
          <w:b/>
          <w:noProof/>
          <w:spacing w:val="-2"/>
          <w:lang w:val="ro-RO"/>
        </w:rPr>
      </w:pPr>
      <w:r w:rsidRPr="004A78BB">
        <w:rPr>
          <w:b/>
          <w:noProof/>
          <w:spacing w:val="-2"/>
          <w:lang w:val="ro-RO"/>
        </w:rPr>
        <w:t>Articole în reviste cotate ISI cu factor de impact:</w:t>
      </w:r>
    </w:p>
    <w:p w:rsidR="00111613" w:rsidRDefault="00111613" w:rsidP="00111613">
      <w:pPr>
        <w:pStyle w:val="ListParagraph"/>
        <w:tabs>
          <w:tab w:val="left" w:pos="142"/>
          <w:tab w:val="left" w:pos="399"/>
        </w:tabs>
        <w:spacing w:line="320" w:lineRule="atLeast"/>
        <w:ind w:left="1800"/>
        <w:jc w:val="both"/>
        <w:rPr>
          <w:b/>
          <w:noProof/>
          <w:spacing w:val="-2"/>
          <w:lang w:val="ro-RO"/>
        </w:rPr>
      </w:pPr>
    </w:p>
    <w:p w:rsidR="00111613" w:rsidRDefault="00111613" w:rsidP="00111613">
      <w:pPr>
        <w:pStyle w:val="ListParagraph"/>
        <w:numPr>
          <w:ilvl w:val="2"/>
          <w:numId w:val="1"/>
        </w:numPr>
        <w:spacing w:line="276" w:lineRule="auto"/>
        <w:jc w:val="both"/>
      </w:pPr>
      <w:r>
        <w:t>Autor principal</w:t>
      </w:r>
    </w:p>
    <w:p w:rsidR="00111613" w:rsidRDefault="00111613" w:rsidP="00111613">
      <w:pPr>
        <w:autoSpaceDE w:val="0"/>
        <w:autoSpaceDN w:val="0"/>
        <w:adjustRightInd w:val="0"/>
        <w:spacing w:line="320" w:lineRule="atLeast"/>
        <w:jc w:val="both"/>
        <w:rPr>
          <w:b/>
          <w:sz w:val="28"/>
          <w:szCs w:val="28"/>
          <w:lang w:val="ro-RO"/>
        </w:rPr>
      </w:pPr>
    </w:p>
    <w:p w:rsidR="000F509C" w:rsidRPr="00BF1A13" w:rsidRDefault="00111613" w:rsidP="00BF1A13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line="320" w:lineRule="atLeast"/>
        <w:ind w:left="714" w:hanging="357"/>
        <w:jc w:val="both"/>
        <w:rPr>
          <w:bCs/>
          <w:color w:val="6B6B6B"/>
        </w:rPr>
      </w:pPr>
      <w:r w:rsidRPr="00BF1A13">
        <w:rPr>
          <w:b/>
        </w:rPr>
        <w:t>Dan, C.A.-M</w:t>
      </w:r>
      <w:r w:rsidRPr="00BF1A13">
        <w:t xml:space="preserve">.; Sima, L.V.; Dan, R.G.; Ioniță, I.; Crețu, O.M.; Brează, G.M.; Sima, A.C.; Ioniță, C. The Current Role and Relevance of a Splenectomy in Immune Thrombocytopenic Purpura Patients—A Single-Center Experience. </w:t>
      </w:r>
      <w:r w:rsidRPr="00BF1A13">
        <w:rPr>
          <w:rStyle w:val="Emphasis"/>
        </w:rPr>
        <w:t>Medicina</w:t>
      </w:r>
      <w:r w:rsidRPr="00BF1A13">
        <w:t xml:space="preserve"> </w:t>
      </w:r>
      <w:r w:rsidRPr="00BF1A13">
        <w:rPr>
          <w:bCs/>
        </w:rPr>
        <w:t>2025</w:t>
      </w:r>
      <w:r w:rsidRPr="00BF1A13">
        <w:t xml:space="preserve">, </w:t>
      </w:r>
      <w:r w:rsidRPr="00BF1A13">
        <w:rPr>
          <w:rStyle w:val="Emphasis"/>
        </w:rPr>
        <w:t>61</w:t>
      </w:r>
      <w:r w:rsidRPr="00BF1A13">
        <w:t>, 578.</w:t>
      </w:r>
      <w:r w:rsidR="00BF1A13" w:rsidRPr="00BF1A13">
        <w:t xml:space="preserve"> </w:t>
      </w:r>
      <w:hyperlink r:id="rId5" w:history="1">
        <w:r w:rsidR="00494499" w:rsidRPr="001F09AC">
          <w:rPr>
            <w:rStyle w:val="Hyperlink"/>
            <w:rFonts w:ascii="Arial" w:eastAsia="URWPalladioL-Roma" w:hAnsi="Arial" w:cs="Arial"/>
            <w:sz w:val="20"/>
            <w:szCs w:val="20"/>
            <w:lang w:val="ro-RO" w:eastAsia="ro-RO"/>
          </w:rPr>
          <w:t>https://doi.org/10.3390/medicina61040578</w:t>
        </w:r>
      </w:hyperlink>
    </w:p>
    <w:p w:rsidR="00111613" w:rsidRPr="000F509C" w:rsidRDefault="00111613" w:rsidP="000F509C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line="320" w:lineRule="atLeast"/>
        <w:ind w:left="714" w:hanging="357"/>
        <w:jc w:val="both"/>
        <w:rPr>
          <w:bCs/>
          <w:color w:val="6B6B6B"/>
        </w:rPr>
      </w:pPr>
      <w:r w:rsidRPr="000F509C">
        <w:rPr>
          <w:b/>
        </w:rPr>
        <w:t>Dan C</w:t>
      </w:r>
      <w:r w:rsidRPr="00111613">
        <w:t xml:space="preserve">; Almajan-Guta B; Jojic AA; Dumitrel S-I; Predescu I-A; Tchiakpe-Antal S; Smeu A; Jijie R; Ionita I; Dragomir A-C; Ardelean S; Daraban A. Ethanolic Extract of </w:t>
      </w:r>
      <w:r w:rsidRPr="000F509C">
        <w:rPr>
          <w:i/>
        </w:rPr>
        <w:t>Juniperus communis</w:t>
      </w:r>
      <w:r w:rsidRPr="00111613">
        <w:t xml:space="preserve"> Exhibits Antimicrobial Activity and Selective Cytotoxicity in PANC-1 Cancer Cells Compared to HepaRG Hepatocytes. </w:t>
      </w:r>
      <w:r w:rsidRPr="000F509C">
        <w:rPr>
          <w:i/>
        </w:rPr>
        <w:t xml:space="preserve">Farmacia. </w:t>
      </w:r>
      <w:r w:rsidRPr="000F509C">
        <w:rPr>
          <w:b/>
          <w:i/>
        </w:rPr>
        <w:t>2025</w:t>
      </w:r>
      <w:r w:rsidRPr="00111613">
        <w:t xml:space="preserve">; 73 (2): 362-375. </w:t>
      </w:r>
      <w:hyperlink r:id="rId6" w:history="1">
        <w:r w:rsidRPr="000F509C">
          <w:rPr>
            <w:rStyle w:val="Hyperlink"/>
            <w:i/>
            <w:spacing w:val="-2"/>
          </w:rPr>
          <w:t>https://doi.org/10.31925/farmacia.2025.2.11</w:t>
        </w:r>
      </w:hyperlink>
    </w:p>
    <w:p w:rsidR="00111613" w:rsidRPr="00111613" w:rsidRDefault="00111613" w:rsidP="00111613">
      <w:pPr>
        <w:autoSpaceDE w:val="0"/>
        <w:autoSpaceDN w:val="0"/>
        <w:adjustRightInd w:val="0"/>
        <w:spacing w:line="320" w:lineRule="atLeast"/>
        <w:ind w:left="357"/>
        <w:jc w:val="both"/>
        <w:rPr>
          <w:bCs/>
          <w:color w:val="6B6B6B"/>
        </w:rPr>
      </w:pPr>
    </w:p>
    <w:p w:rsidR="00111613" w:rsidRPr="00111613" w:rsidRDefault="00111613" w:rsidP="00111613">
      <w:pPr>
        <w:autoSpaceDE w:val="0"/>
        <w:autoSpaceDN w:val="0"/>
        <w:adjustRightInd w:val="0"/>
        <w:spacing w:line="320" w:lineRule="atLeast"/>
        <w:ind w:left="357"/>
        <w:jc w:val="both"/>
        <w:rPr>
          <w:bCs/>
          <w:color w:val="6B6B6B"/>
        </w:rPr>
      </w:pPr>
    </w:p>
    <w:p w:rsidR="00111613" w:rsidRPr="00111613" w:rsidRDefault="00111613" w:rsidP="00111613">
      <w:pPr>
        <w:pStyle w:val="ListParagraph"/>
        <w:spacing w:line="276" w:lineRule="auto"/>
        <w:ind w:left="1701"/>
        <w:jc w:val="both"/>
      </w:pPr>
      <w:r w:rsidRPr="00111613">
        <w:t>ii. Coautor</w:t>
      </w:r>
    </w:p>
    <w:p w:rsidR="000F509C" w:rsidRDefault="000F509C" w:rsidP="00111613">
      <w:pPr>
        <w:pStyle w:val="ListParagraph"/>
        <w:autoSpaceDE w:val="0"/>
        <w:autoSpaceDN w:val="0"/>
        <w:adjustRightInd w:val="0"/>
        <w:spacing w:line="320" w:lineRule="atLeast"/>
        <w:jc w:val="both"/>
      </w:pPr>
    </w:p>
    <w:p w:rsidR="00BF1A13" w:rsidRPr="00BF1A13" w:rsidRDefault="00111613" w:rsidP="00BF1A13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line="320" w:lineRule="atLeast"/>
        <w:jc w:val="both"/>
        <w:rPr>
          <w:rFonts w:eastAsiaTheme="minorHAnsi"/>
          <w:bCs/>
          <w:color w:val="6B6B6B"/>
        </w:rPr>
      </w:pPr>
      <w:r w:rsidRPr="00BF1A13">
        <w:t xml:space="preserve">Sima, L.V.; </w:t>
      </w:r>
      <w:r w:rsidRPr="00BF1A13">
        <w:rPr>
          <w:b/>
        </w:rPr>
        <w:t>Dan, C.A.-M.</w:t>
      </w:r>
      <w:r w:rsidRPr="00BF1A13">
        <w:t xml:space="preserve">; Zara, F.; Closca, R.M.; Sima, A.C.; Saracin, C.O.; Dan, R.G.; Orzata, D.M. Giant Appendiceal Mucocele with High Grade Mucinous Neoplasm—Case Report and Review of the Literature. </w:t>
      </w:r>
      <w:r w:rsidRPr="00BF1A13">
        <w:rPr>
          <w:rStyle w:val="Emphasis"/>
        </w:rPr>
        <w:t>Diagnostics</w:t>
      </w:r>
      <w:r w:rsidRPr="00BF1A13">
        <w:t xml:space="preserve"> </w:t>
      </w:r>
      <w:r w:rsidRPr="00BF1A13">
        <w:rPr>
          <w:bCs/>
        </w:rPr>
        <w:t>2024</w:t>
      </w:r>
      <w:r w:rsidRPr="00BF1A13">
        <w:t xml:space="preserve">, </w:t>
      </w:r>
      <w:r w:rsidRPr="00BF1A13">
        <w:rPr>
          <w:rStyle w:val="Emphasis"/>
        </w:rPr>
        <w:t>14</w:t>
      </w:r>
      <w:r w:rsidRPr="00BF1A13">
        <w:t>, 2429.</w:t>
      </w:r>
      <w:r w:rsidR="00BF1A13" w:rsidRPr="00BF1A13">
        <w:t xml:space="preserve"> </w:t>
      </w:r>
      <w:hyperlink r:id="rId7" w:history="1">
        <w:r w:rsidR="00494499" w:rsidRPr="001F09AC">
          <w:rPr>
            <w:rStyle w:val="Hyperlink"/>
            <w:rFonts w:ascii="Arial" w:eastAsia="URWPalladioL-Roma" w:hAnsi="Arial" w:cs="Arial"/>
            <w:sz w:val="20"/>
            <w:szCs w:val="20"/>
            <w:lang w:val="ro-RO" w:eastAsia="ro-RO"/>
          </w:rPr>
          <w:t>https://doi.org/10.3390/diagnostics14212429</w:t>
        </w:r>
      </w:hyperlink>
      <w:r w:rsidR="00BF1A13" w:rsidRPr="00BF1A13">
        <w:rPr>
          <w:lang w:val="ro-RO" w:eastAsia="ro-RO"/>
        </w:rPr>
        <w:t>.</w:t>
      </w:r>
    </w:p>
    <w:p w:rsidR="00BF1A13" w:rsidRPr="00BF1A13" w:rsidRDefault="00111613" w:rsidP="00BF1A13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line="320" w:lineRule="atLeast"/>
        <w:jc w:val="both"/>
        <w:rPr>
          <w:rFonts w:eastAsiaTheme="minorHAnsi"/>
          <w:bCs/>
          <w:color w:val="6B6B6B"/>
        </w:rPr>
      </w:pPr>
      <w:r w:rsidRPr="000F509C">
        <w:t xml:space="preserve">Breaza, G.M.; Hut, F.E.; Cretu, O.; Abu-Awwad, S.-A.; Abu-Awwad, A.; Sima, L.V.; Dan, R.G.; </w:t>
      </w:r>
      <w:r w:rsidRPr="00BF1A13">
        <w:rPr>
          <w:b/>
        </w:rPr>
        <w:t>Dan, C.A.-M.</w:t>
      </w:r>
      <w:r w:rsidRPr="000F509C">
        <w:t xml:space="preserve">; Closca, R.M.; Zara, F. Correlation Between Systemic Inflammation, Gut Microbiome Dysbiosis and Postoperative Complications After the Modified Whipple Procedure. </w:t>
      </w:r>
      <w:r w:rsidRPr="000F509C">
        <w:rPr>
          <w:rStyle w:val="Emphasis"/>
        </w:rPr>
        <w:t>Biomedicines</w:t>
      </w:r>
      <w:r w:rsidRPr="000F509C">
        <w:t xml:space="preserve"> </w:t>
      </w:r>
      <w:r w:rsidRPr="00BF1A13">
        <w:rPr>
          <w:bCs/>
        </w:rPr>
        <w:t>2025</w:t>
      </w:r>
      <w:r w:rsidRPr="000F509C">
        <w:t xml:space="preserve">, </w:t>
      </w:r>
      <w:r w:rsidRPr="000F509C">
        <w:rPr>
          <w:rStyle w:val="Emphasis"/>
        </w:rPr>
        <w:t>13</w:t>
      </w:r>
      <w:r w:rsidRPr="000F509C">
        <w:t>, 104.</w:t>
      </w:r>
      <w:r w:rsidR="00BF1A13">
        <w:t xml:space="preserve"> </w:t>
      </w:r>
      <w:hyperlink r:id="rId8" w:history="1">
        <w:r w:rsidR="00494499" w:rsidRPr="001F09AC">
          <w:rPr>
            <w:rStyle w:val="Hyperlink"/>
            <w:rFonts w:ascii="Arial" w:eastAsia="URWPalladioL-Roma" w:hAnsi="Arial" w:cs="Arial"/>
            <w:sz w:val="20"/>
            <w:szCs w:val="20"/>
            <w:lang w:val="ro-RO" w:eastAsia="ro-RO"/>
          </w:rPr>
          <w:t>https://doi.org/10.3390/biomedicines13010104</w:t>
        </w:r>
      </w:hyperlink>
    </w:p>
    <w:p w:rsidR="004829BE" w:rsidRPr="00BF1A13" w:rsidRDefault="00BF1A13" w:rsidP="00BF1A13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line="320" w:lineRule="atLeast"/>
        <w:jc w:val="both"/>
        <w:rPr>
          <w:rFonts w:eastAsiaTheme="minorHAnsi"/>
          <w:bCs/>
          <w:color w:val="6B6B6B"/>
        </w:rPr>
      </w:pPr>
      <w:r w:rsidRPr="00BF1A13">
        <w:rPr>
          <w:rFonts w:ascii="Arial" w:hAnsi="Arial" w:cs="Arial"/>
          <w:sz w:val="21"/>
          <w:szCs w:val="21"/>
        </w:rPr>
        <w:t xml:space="preserve">Breaza, G.M.; Hut, F.E.; Cretu, O.; Abu-Awwad, S.-A.; Abu-Awwad, A.; Sima, L.; Dan, R.G.; </w:t>
      </w:r>
      <w:r w:rsidRPr="00BF1A13">
        <w:rPr>
          <w:rFonts w:ascii="Arial" w:hAnsi="Arial" w:cs="Arial"/>
          <w:b/>
          <w:sz w:val="21"/>
          <w:szCs w:val="21"/>
        </w:rPr>
        <w:t>Dan, C.A.-M.</w:t>
      </w:r>
      <w:r w:rsidRPr="00BF1A13">
        <w:rPr>
          <w:rFonts w:ascii="Arial" w:hAnsi="Arial" w:cs="Arial"/>
          <w:sz w:val="21"/>
          <w:szCs w:val="21"/>
        </w:rPr>
        <w:t xml:space="preserve">; Closca, R.M.; Zara, F. Impact of Preoperative Biliary Stenting on Intestinal </w:t>
      </w:r>
      <w:r w:rsidRPr="00BF1A13">
        <w:rPr>
          <w:rFonts w:ascii="Arial" w:hAnsi="Arial" w:cs="Arial"/>
          <w:sz w:val="21"/>
          <w:szCs w:val="21"/>
        </w:rPr>
        <w:lastRenderedPageBreak/>
        <w:t xml:space="preserve">Dysfunction and Perioperative Complications After Pylorus-Preserving Pancreaticoduodenectomy. </w:t>
      </w:r>
      <w:r w:rsidRPr="00BF1A13">
        <w:rPr>
          <w:rStyle w:val="Emphasis"/>
          <w:rFonts w:ascii="Arial" w:hAnsi="Arial" w:cs="Arial"/>
          <w:sz w:val="21"/>
          <w:szCs w:val="21"/>
        </w:rPr>
        <w:t>Medicina</w:t>
      </w:r>
      <w:r w:rsidRPr="00BF1A13">
        <w:rPr>
          <w:rFonts w:ascii="Arial" w:hAnsi="Arial" w:cs="Arial"/>
          <w:sz w:val="21"/>
          <w:szCs w:val="21"/>
        </w:rPr>
        <w:t xml:space="preserve"> </w:t>
      </w:r>
      <w:r w:rsidRPr="00BF1A13">
        <w:rPr>
          <w:rFonts w:ascii="Arial" w:hAnsi="Arial" w:cs="Arial"/>
          <w:bCs/>
          <w:sz w:val="21"/>
          <w:szCs w:val="21"/>
        </w:rPr>
        <w:t>2025</w:t>
      </w:r>
      <w:r w:rsidRPr="00BF1A13">
        <w:rPr>
          <w:rFonts w:ascii="Arial" w:hAnsi="Arial" w:cs="Arial"/>
          <w:sz w:val="21"/>
          <w:szCs w:val="21"/>
        </w:rPr>
        <w:t xml:space="preserve">, </w:t>
      </w:r>
      <w:r w:rsidRPr="00BF1A13">
        <w:rPr>
          <w:rStyle w:val="Emphasis"/>
          <w:rFonts w:ascii="Arial" w:hAnsi="Arial" w:cs="Arial"/>
          <w:sz w:val="21"/>
          <w:szCs w:val="21"/>
        </w:rPr>
        <w:t>61</w:t>
      </w:r>
      <w:r w:rsidRPr="00BF1A13">
        <w:rPr>
          <w:rFonts w:ascii="Arial" w:hAnsi="Arial" w:cs="Arial"/>
          <w:sz w:val="21"/>
          <w:szCs w:val="21"/>
        </w:rPr>
        <w:t xml:space="preserve">, 391. </w:t>
      </w:r>
      <w:hyperlink r:id="rId9" w:history="1">
        <w:r w:rsidR="00494499" w:rsidRPr="001F09AC">
          <w:rPr>
            <w:rStyle w:val="Hyperlink"/>
            <w:rFonts w:ascii="Arial" w:eastAsia="URWPalladioL-Roma" w:hAnsi="Arial" w:cs="Arial"/>
            <w:sz w:val="20"/>
            <w:szCs w:val="20"/>
            <w:lang w:val="ro-RO" w:eastAsia="ro-RO"/>
          </w:rPr>
          <w:t>https://doi.org/10.33</w:t>
        </w:r>
        <w:bookmarkStart w:id="0" w:name="_GoBack"/>
        <w:bookmarkEnd w:id="0"/>
        <w:r w:rsidR="00494499" w:rsidRPr="001F09AC">
          <w:rPr>
            <w:rStyle w:val="Hyperlink"/>
            <w:rFonts w:ascii="Arial" w:eastAsia="URWPalladioL-Roma" w:hAnsi="Arial" w:cs="Arial"/>
            <w:sz w:val="20"/>
            <w:szCs w:val="20"/>
            <w:lang w:val="ro-RO" w:eastAsia="ro-RO"/>
          </w:rPr>
          <w:t>90/medicina61030391</w:t>
        </w:r>
      </w:hyperlink>
    </w:p>
    <w:sectPr w:rsidR="004829BE" w:rsidRPr="00BF1A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RWPalladioL-Roma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2B1CF0"/>
    <w:multiLevelType w:val="hybridMultilevel"/>
    <w:tmpl w:val="65086E66"/>
    <w:lvl w:ilvl="0" w:tplc="04180015">
      <w:start w:val="9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45063515"/>
    <w:multiLevelType w:val="hybridMultilevel"/>
    <w:tmpl w:val="6E9E330E"/>
    <w:lvl w:ilvl="0" w:tplc="F820AAB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color w:val="auto"/>
      </w:rPr>
    </w:lvl>
    <w:lvl w:ilvl="1" w:tplc="0409000F">
      <w:start w:val="1"/>
      <w:numFmt w:val="decimal"/>
      <w:lvlText w:val="%2."/>
      <w:lvlJc w:val="left"/>
      <w:pPr>
        <w:tabs>
          <w:tab w:val="num" w:pos="432"/>
        </w:tabs>
        <w:ind w:left="432" w:hanging="432"/>
      </w:pPr>
      <w:rPr>
        <w:rFonts w:hint="default"/>
        <w:b/>
        <w:color w:val="auto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CD7BD9"/>
    <w:multiLevelType w:val="hybridMultilevel"/>
    <w:tmpl w:val="53044E60"/>
    <w:lvl w:ilvl="0" w:tplc="0CEE73E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5C7A43"/>
    <w:multiLevelType w:val="hybridMultilevel"/>
    <w:tmpl w:val="52D65A1A"/>
    <w:lvl w:ilvl="0" w:tplc="05EA38C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BC35BD"/>
    <w:multiLevelType w:val="hybridMultilevel"/>
    <w:tmpl w:val="7F266350"/>
    <w:lvl w:ilvl="0" w:tplc="A462C13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613"/>
    <w:rsid w:val="000503D8"/>
    <w:rsid w:val="000F509C"/>
    <w:rsid w:val="00111613"/>
    <w:rsid w:val="004829BE"/>
    <w:rsid w:val="00494499"/>
    <w:rsid w:val="00BF1A13"/>
    <w:rsid w:val="00C3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63B915-28DB-4F96-81D7-C3B3E397F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1116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1613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111613"/>
    <w:rPr>
      <w:i/>
      <w:iCs/>
    </w:rPr>
  </w:style>
  <w:style w:type="character" w:styleId="Hyperlink">
    <w:name w:val="Hyperlink"/>
    <w:basedOn w:val="DefaultParagraphFont"/>
    <w:uiPriority w:val="99"/>
    <w:unhideWhenUsed/>
    <w:rsid w:val="0011161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3390/biomedicines1301010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i.org/10.3390/diagnostics1421242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31925/farmacia.2025.2.11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doi.org/10.3390/medicina61040578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oi.org/10.3390/medicina6103039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333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2025-06-11T13:04:00Z</dcterms:created>
  <dcterms:modified xsi:type="dcterms:W3CDTF">2025-06-11T16:31:00Z</dcterms:modified>
</cp:coreProperties>
</file>