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274DB9" w14:textId="77777777" w:rsidR="00A018EE" w:rsidRPr="0077542C" w:rsidRDefault="00A018EE" w:rsidP="0077542C">
      <w:pPr>
        <w:spacing w:before="120" w:after="120" w:line="250" w:lineRule="exact"/>
        <w:ind w:right="864"/>
        <w:jc w:val="both"/>
        <w:rPr>
          <w:rFonts w:ascii="Times New Roman" w:hAnsi="Times New Roman" w:cs="Times New Roman"/>
          <w:b/>
          <w:color w:val="1F4E79" w:themeColor="accent1" w:themeShade="80"/>
          <w:spacing w:val="-4"/>
          <w:w w:val="90"/>
          <w:sz w:val="24"/>
          <w:szCs w:val="24"/>
        </w:rPr>
      </w:pPr>
    </w:p>
    <w:p w14:paraId="28F5CBC1" w14:textId="56121AD3" w:rsidR="0077542C" w:rsidRPr="008063CB" w:rsidRDefault="00303F03" w:rsidP="008063CB">
      <w:pPr>
        <w:spacing w:before="120" w:after="120" w:line="250" w:lineRule="exact"/>
        <w:ind w:left="864" w:right="864"/>
        <w:jc w:val="center"/>
        <w:rPr>
          <w:rFonts w:ascii="Times New Roman" w:hAnsi="Times New Roman" w:cs="Times New Roman"/>
          <w:b/>
          <w:color w:val="1F4E79" w:themeColor="accent1" w:themeShade="80"/>
          <w:w w:val="95"/>
          <w:sz w:val="28"/>
          <w:szCs w:val="28"/>
        </w:rPr>
      </w:pPr>
      <w:r w:rsidRPr="0077542C">
        <w:rPr>
          <w:rFonts w:ascii="Times New Roman" w:hAnsi="Times New Roman" w:cs="Times New Roman"/>
          <w:b/>
          <w:color w:val="1F4E79" w:themeColor="accent1" w:themeShade="80"/>
          <w:spacing w:val="-4"/>
          <w:w w:val="90"/>
          <w:sz w:val="28"/>
          <w:szCs w:val="28"/>
        </w:rPr>
        <w:t>Li</w:t>
      </w:r>
      <w:r w:rsidR="00D72294" w:rsidRPr="0077542C">
        <w:rPr>
          <w:rFonts w:ascii="Times New Roman" w:hAnsi="Times New Roman" w:cs="Times New Roman"/>
          <w:b/>
          <w:color w:val="1F4E79" w:themeColor="accent1" w:themeShade="80"/>
          <w:spacing w:val="-4"/>
          <w:w w:val="90"/>
          <w:sz w:val="28"/>
          <w:szCs w:val="28"/>
        </w:rPr>
        <w:t>stă de l</w:t>
      </w:r>
      <w:r w:rsidRPr="0077542C">
        <w:rPr>
          <w:rFonts w:ascii="Times New Roman" w:hAnsi="Times New Roman" w:cs="Times New Roman"/>
          <w:b/>
          <w:color w:val="1F4E79" w:themeColor="accent1" w:themeShade="80"/>
          <w:spacing w:val="-4"/>
          <w:w w:val="90"/>
          <w:sz w:val="28"/>
          <w:szCs w:val="28"/>
        </w:rPr>
        <w:t>ucrări</w:t>
      </w:r>
      <w:r w:rsidRPr="0077542C">
        <w:rPr>
          <w:rFonts w:ascii="Times New Roman" w:hAnsi="Times New Roman" w:cs="Times New Roman"/>
          <w:b/>
          <w:color w:val="1F4E79" w:themeColor="accent1" w:themeShade="80"/>
          <w:spacing w:val="-12"/>
          <w:w w:val="90"/>
          <w:sz w:val="28"/>
          <w:szCs w:val="28"/>
        </w:rPr>
        <w:t xml:space="preserve"> </w:t>
      </w:r>
    </w:p>
    <w:p w14:paraId="789679C9" w14:textId="77777777" w:rsidR="00303F03" w:rsidRPr="0077542C" w:rsidRDefault="0099579F" w:rsidP="0077542C">
      <w:pPr>
        <w:widowControl/>
        <w:autoSpaceDE/>
        <w:autoSpaceDN/>
        <w:spacing w:before="120" w:after="120"/>
        <w:ind w:left="864" w:right="864"/>
        <w:jc w:val="both"/>
        <w:rPr>
          <w:rFonts w:ascii="Times New Roman" w:hAnsi="Times New Roman" w:cs="Times New Roman"/>
          <w:b/>
          <w:sz w:val="24"/>
          <w:szCs w:val="24"/>
        </w:rPr>
      </w:pPr>
      <w:r w:rsidRPr="0077542C">
        <w:rPr>
          <w:rFonts w:ascii="Times New Roman" w:hAnsi="Times New Roman" w:cs="Times New Roman"/>
          <w:b/>
          <w:sz w:val="24"/>
          <w:szCs w:val="24"/>
        </w:rPr>
        <w:t>Lista a 10 lucrări reprezentative</w:t>
      </w:r>
    </w:p>
    <w:p w14:paraId="3FCB0995" w14:textId="7CC4F1C3" w:rsidR="0057572C" w:rsidRPr="0077542C" w:rsidRDefault="0057572C" w:rsidP="0077542C">
      <w:pPr>
        <w:pStyle w:val="ListParagraph"/>
        <w:widowControl/>
        <w:numPr>
          <w:ilvl w:val="0"/>
          <w:numId w:val="5"/>
        </w:numPr>
        <w:autoSpaceDE/>
        <w:autoSpaceDN/>
        <w:spacing w:before="120" w:after="120"/>
        <w:ind w:left="864" w:right="864"/>
        <w:rPr>
          <w:rFonts w:ascii="Times New Roman" w:hAnsi="Times New Roman" w:cs="Times New Roman"/>
          <w:sz w:val="24"/>
          <w:szCs w:val="24"/>
        </w:rPr>
      </w:pPr>
      <w:r w:rsidRPr="00F37273">
        <w:rPr>
          <w:rFonts w:ascii="Times New Roman" w:hAnsi="Times New Roman" w:cs="Times New Roman"/>
          <w:sz w:val="24"/>
          <w:szCs w:val="24"/>
        </w:rPr>
        <w:t>Mihailescu, A.;</w:t>
      </w:r>
      <w:r w:rsidRPr="0077542C">
        <w:rPr>
          <w:rFonts w:ascii="Times New Roman" w:hAnsi="Times New Roman" w:cs="Times New Roman"/>
          <w:sz w:val="24"/>
          <w:szCs w:val="24"/>
        </w:rPr>
        <w:t>Serafim,V.; Paul, C.; Andreescu, N.; Tiugan, D.-A.; Tutac, P.; Velea, I.; Zimbru, C.G.; Serban, C.L.; Ion, A.I.; et al. Docosahexaenoic Acid and Eicosapentaenoic Acid Intakes Modulate the Association of FADS2 Gene Polymorphism rs526126 with Plasma Free Docosahexaenoic Acid Levels in Overweight Children. Appl. Sci.2021,11,9845. https://doi.org/ 10.3390/app11219845; IF=2,679</w:t>
      </w:r>
    </w:p>
    <w:p w14:paraId="6B3B72D1" w14:textId="77777777" w:rsidR="0057572C" w:rsidRPr="0077542C" w:rsidRDefault="0057572C" w:rsidP="0077542C">
      <w:pPr>
        <w:pStyle w:val="ListParagraph"/>
        <w:widowControl/>
        <w:numPr>
          <w:ilvl w:val="0"/>
          <w:numId w:val="5"/>
        </w:numPr>
        <w:autoSpaceDE/>
        <w:autoSpaceDN/>
        <w:spacing w:before="120" w:after="120"/>
        <w:ind w:left="864" w:right="864"/>
        <w:rPr>
          <w:rFonts w:ascii="Times New Roman" w:hAnsi="Times New Roman" w:cs="Times New Roman"/>
          <w:sz w:val="24"/>
          <w:szCs w:val="24"/>
        </w:rPr>
      </w:pPr>
      <w:r w:rsidRPr="0077542C">
        <w:rPr>
          <w:rFonts w:ascii="Times New Roman" w:hAnsi="Times New Roman" w:cs="Times New Roman"/>
          <w:sz w:val="24"/>
          <w:szCs w:val="24"/>
        </w:rPr>
        <w:t>Vlad Serafim, Diana-Andreea Tiugan, Nicoleta Andreescu*, Alexandra Mihăilescu, Corina Paul, Iulian Velea, Maria Puiu and Mihai Dinu Niculescu; Development and Validation of a LC– MS/MS-Based Assay for Quantification of Free and Total Omega 3 and 6 Fatty Acids from Human Plasma; Molecules 2019 Jan 20; 24(2):360. doi: 10.3390/molecules24020360 2019; IF = 3.2</w:t>
      </w:r>
    </w:p>
    <w:p w14:paraId="62B0A606" w14:textId="77777777" w:rsidR="0057572C" w:rsidRPr="0077542C" w:rsidRDefault="0057572C" w:rsidP="0077542C">
      <w:pPr>
        <w:pStyle w:val="ListParagraph"/>
        <w:widowControl/>
        <w:numPr>
          <w:ilvl w:val="0"/>
          <w:numId w:val="5"/>
        </w:numPr>
        <w:autoSpaceDE/>
        <w:autoSpaceDN/>
        <w:spacing w:before="120" w:after="120"/>
        <w:ind w:left="864" w:right="864"/>
        <w:rPr>
          <w:rFonts w:ascii="Times New Roman" w:hAnsi="Times New Roman" w:cs="Times New Roman"/>
          <w:sz w:val="24"/>
          <w:szCs w:val="24"/>
        </w:rPr>
      </w:pPr>
      <w:r w:rsidRPr="0077542C">
        <w:rPr>
          <w:rFonts w:ascii="Times New Roman" w:hAnsi="Times New Roman" w:cs="Times New Roman"/>
          <w:sz w:val="24"/>
          <w:szCs w:val="24"/>
        </w:rPr>
        <w:t>Vlad Serafim, Adela Chirita-Emandi, Nicoleta Andreescu*, Diana- Andreea Tiugan, Paul Tutac, Corina Paul, Iulian Velea, Alexandra Mihăilescu, Costela Lăcrimioara Șerban, Cristian G. Zimbru, Maria Puiu, Mihai Dinu Niculescu; Single Nucleotide Polymorphisms in PEMT and MTHFR Genes are Associated with Omega 3 and 6 Fatty Acid Levels in the Red Blood Cells of Children with Obesity; Nutrients.2019 Oct 30;11(11):2600. doi: 10.3390/nu11112600; IF=4.171</w:t>
      </w:r>
    </w:p>
    <w:p w14:paraId="2DDE15D0" w14:textId="77777777" w:rsidR="0057572C" w:rsidRPr="0077542C" w:rsidRDefault="0057572C" w:rsidP="0077542C">
      <w:pPr>
        <w:pStyle w:val="ListParagraph"/>
        <w:widowControl/>
        <w:numPr>
          <w:ilvl w:val="0"/>
          <w:numId w:val="5"/>
        </w:numPr>
        <w:autoSpaceDE/>
        <w:autoSpaceDN/>
        <w:spacing w:before="120" w:after="120"/>
        <w:ind w:left="864" w:right="864"/>
        <w:rPr>
          <w:rFonts w:ascii="Times New Roman" w:hAnsi="Times New Roman" w:cs="Times New Roman"/>
          <w:sz w:val="24"/>
          <w:szCs w:val="24"/>
        </w:rPr>
      </w:pPr>
      <w:r w:rsidRPr="0077542C">
        <w:rPr>
          <w:rFonts w:ascii="Times New Roman" w:hAnsi="Times New Roman" w:cs="Times New Roman"/>
          <w:sz w:val="24"/>
          <w:szCs w:val="24"/>
        </w:rPr>
        <w:t>Adela Chirita-Emandi, Nicoleta Andreescu, Cristina Popa, Alexandra Mihăilescu, Anca-Lelia Riza, Razvan Plesea, Mihai Ioana, Smaranda Arghirescu, Maria Puiu; Biallelic variants in BRCA1 gene cause a recognisable phenotype within chromosomal instability syndromes reframed as BRCA1 deficiency; Journal of Medical Genetics 2020; IF= 6.318</w:t>
      </w:r>
    </w:p>
    <w:p w14:paraId="3BF79A0A" w14:textId="77777777" w:rsidR="0057572C" w:rsidRPr="0077542C" w:rsidRDefault="0057572C" w:rsidP="0077542C">
      <w:pPr>
        <w:pStyle w:val="ListParagraph"/>
        <w:widowControl/>
        <w:numPr>
          <w:ilvl w:val="0"/>
          <w:numId w:val="5"/>
        </w:numPr>
        <w:autoSpaceDE/>
        <w:autoSpaceDN/>
        <w:spacing w:before="120" w:after="120"/>
        <w:ind w:left="864" w:right="864"/>
        <w:rPr>
          <w:rFonts w:ascii="Times New Roman" w:hAnsi="Times New Roman" w:cs="Times New Roman"/>
          <w:sz w:val="24"/>
          <w:szCs w:val="24"/>
        </w:rPr>
      </w:pPr>
      <w:r w:rsidRPr="0077542C">
        <w:rPr>
          <w:rFonts w:ascii="Times New Roman" w:hAnsi="Times New Roman" w:cs="Times New Roman"/>
          <w:sz w:val="24"/>
          <w:szCs w:val="24"/>
        </w:rPr>
        <w:t>Adela Chirita-Emandi, Costela Lacrimioara Serban, Corina Paul, Nicoleta Andreescu, Iulian Velea, Alexandra Mihailescu, Vlad Serafim, Diana-Andreea Tiugan, Paul Tutac, Cristian Zimbru, Maria Puiu, Mihai Dinu Niculescu. CHDH-PNPLA3 Gene–Gene Interactions Predict Insulin Resistance in Children with Obesity. Diabetes Metab Syndr Obes. 2020 Nov 19;13:4483-4494.IF=3.168</w:t>
      </w:r>
    </w:p>
    <w:p w14:paraId="24DD446E" w14:textId="77777777" w:rsidR="0057572C" w:rsidRPr="0077542C" w:rsidRDefault="00A018EE" w:rsidP="0077542C">
      <w:pPr>
        <w:pStyle w:val="ListParagraph"/>
        <w:widowControl/>
        <w:numPr>
          <w:ilvl w:val="0"/>
          <w:numId w:val="5"/>
        </w:numPr>
        <w:autoSpaceDE/>
        <w:autoSpaceDN/>
        <w:spacing w:before="120" w:after="120"/>
        <w:ind w:left="864" w:right="864"/>
        <w:rPr>
          <w:rFonts w:ascii="Times New Roman" w:hAnsi="Times New Roman" w:cs="Times New Roman"/>
          <w:sz w:val="24"/>
          <w:szCs w:val="24"/>
        </w:rPr>
      </w:pPr>
      <w:r w:rsidRPr="0077542C">
        <w:rPr>
          <w:rFonts w:ascii="Times New Roman" w:hAnsi="Times New Roman" w:cs="Times New Roman"/>
          <w:sz w:val="24"/>
          <w:szCs w:val="24"/>
        </w:rPr>
        <w:t xml:space="preserve">Raluca Dumache, </w:t>
      </w:r>
      <w:r w:rsidRPr="00F37273">
        <w:rPr>
          <w:rFonts w:ascii="Times New Roman" w:hAnsi="Times New Roman" w:cs="Times New Roman"/>
          <w:sz w:val="24"/>
          <w:szCs w:val="24"/>
        </w:rPr>
        <w:t>Alexandra Mihailescu*,</w:t>
      </w:r>
      <w:r w:rsidRPr="0077542C">
        <w:rPr>
          <w:rFonts w:ascii="Times New Roman" w:hAnsi="Times New Roman" w:cs="Times New Roman"/>
          <w:sz w:val="24"/>
          <w:szCs w:val="24"/>
        </w:rPr>
        <w:t xml:space="preserve"> Dana Liana David, Flavius-Lucian Herlo, Gabriel Verdeş, Dan Brebu, Ionuţ Faur, Vlad Braicu, Amadeus Dobrescu, Ciprian Duţă. Polymorphisms Of CD44 Rs187115 As A Predictive Biomarker In Early Colorectal Cancer Diagnostic. Chirurgia. 2024. DOI: 10.21614/Chirurgia.3007; IF=0,8</w:t>
      </w:r>
    </w:p>
    <w:p w14:paraId="5796FEC9" w14:textId="50BDABBB" w:rsidR="00A018EE" w:rsidRPr="0077542C" w:rsidRDefault="00A018EE" w:rsidP="0077542C">
      <w:pPr>
        <w:pStyle w:val="ListParagraph"/>
        <w:widowControl/>
        <w:numPr>
          <w:ilvl w:val="0"/>
          <w:numId w:val="5"/>
        </w:numPr>
        <w:autoSpaceDE/>
        <w:autoSpaceDN/>
        <w:spacing w:before="120" w:after="120"/>
        <w:ind w:left="864" w:right="864"/>
        <w:rPr>
          <w:rFonts w:ascii="Times New Roman" w:hAnsi="Times New Roman" w:cs="Times New Roman"/>
          <w:sz w:val="24"/>
          <w:szCs w:val="24"/>
        </w:rPr>
      </w:pPr>
      <w:r w:rsidRPr="0077542C">
        <w:rPr>
          <w:rFonts w:ascii="Times New Roman" w:hAnsi="Times New Roman" w:cs="Times New Roman"/>
          <w:sz w:val="24"/>
          <w:szCs w:val="24"/>
        </w:rPr>
        <w:t xml:space="preserve">Raluca Dumache, Maria Puiu, </w:t>
      </w:r>
      <w:r w:rsidRPr="00F37273">
        <w:rPr>
          <w:rFonts w:ascii="Times New Roman" w:hAnsi="Times New Roman" w:cs="Times New Roman"/>
          <w:sz w:val="24"/>
          <w:szCs w:val="24"/>
        </w:rPr>
        <w:t>Alexandra Mihăilescu</w:t>
      </w:r>
      <w:r w:rsidR="00137747" w:rsidRPr="00F37273">
        <w:rPr>
          <w:rFonts w:ascii="Times New Roman" w:hAnsi="Times New Roman" w:cs="Times New Roman"/>
          <w:sz w:val="24"/>
          <w:szCs w:val="24"/>
        </w:rPr>
        <w:t>*</w:t>
      </w:r>
      <w:r w:rsidRPr="00F37273">
        <w:rPr>
          <w:rFonts w:ascii="Times New Roman" w:hAnsi="Times New Roman" w:cs="Times New Roman"/>
          <w:sz w:val="24"/>
          <w:szCs w:val="24"/>
        </w:rPr>
        <w:t>,</w:t>
      </w:r>
      <w:r w:rsidRPr="0077542C">
        <w:rPr>
          <w:rFonts w:ascii="Times New Roman" w:hAnsi="Times New Roman" w:cs="Times New Roman"/>
          <w:sz w:val="24"/>
          <w:szCs w:val="24"/>
        </w:rPr>
        <w:t xml:space="preserve"> Alexandra Enache; Detection of Mutations in Short Tandem Repeats (STRs) Loci in Paternity Testing in Romanian Population; Clinical Laboratory 2020, doi: 10.7754/Clin.Lab.2020.200103; IF=1,224</w:t>
      </w:r>
    </w:p>
    <w:p w14:paraId="56B94228" w14:textId="77777777" w:rsidR="00A018EE" w:rsidRPr="0077542C" w:rsidRDefault="00A018EE" w:rsidP="0077542C">
      <w:pPr>
        <w:pStyle w:val="ListParagraph"/>
        <w:widowControl/>
        <w:numPr>
          <w:ilvl w:val="0"/>
          <w:numId w:val="5"/>
        </w:numPr>
        <w:autoSpaceDE/>
        <w:autoSpaceDN/>
        <w:spacing w:before="120" w:after="120"/>
        <w:ind w:left="864" w:right="864"/>
        <w:rPr>
          <w:rFonts w:ascii="Times New Roman" w:hAnsi="Times New Roman" w:cs="Times New Roman"/>
          <w:sz w:val="24"/>
          <w:szCs w:val="24"/>
        </w:rPr>
      </w:pPr>
      <w:r w:rsidRPr="0077542C">
        <w:rPr>
          <w:rFonts w:ascii="Times New Roman" w:hAnsi="Times New Roman" w:cs="Times New Roman"/>
          <w:sz w:val="24"/>
          <w:szCs w:val="24"/>
        </w:rPr>
        <w:t>Ionescu A, Mihăilescu A, Chiriță-Emandi A, Munagala N, David VL, Dumache R, Săndesc D, Bedreag O, Folescu R, Bratosin F, Barata PI, Cristescu DM, Săndesc MA. Assessing Differential Transfusion Requirements for Children with Congenital Malformations vs. Pediatric Acute Abdomen Emergencies. Diagnostics (Basel). 2024 Oct 4;14(19):2216. doi: 10.3390/diagnostics14192216. PMID: 39410620; IF=3,0</w:t>
      </w:r>
    </w:p>
    <w:p w14:paraId="1C2BC9E8" w14:textId="77777777" w:rsidR="00A018EE" w:rsidRPr="0077542C" w:rsidRDefault="00A018EE" w:rsidP="0077542C">
      <w:pPr>
        <w:pStyle w:val="ListParagraph"/>
        <w:widowControl/>
        <w:numPr>
          <w:ilvl w:val="0"/>
          <w:numId w:val="5"/>
        </w:numPr>
        <w:autoSpaceDE/>
        <w:autoSpaceDN/>
        <w:spacing w:before="120" w:after="120"/>
        <w:ind w:left="864" w:right="864"/>
        <w:rPr>
          <w:rFonts w:ascii="Times New Roman" w:hAnsi="Times New Roman" w:cs="Times New Roman"/>
          <w:sz w:val="24"/>
          <w:szCs w:val="24"/>
        </w:rPr>
      </w:pPr>
      <w:r w:rsidRPr="0077542C">
        <w:rPr>
          <w:rFonts w:ascii="Times New Roman" w:hAnsi="Times New Roman" w:cs="Times New Roman"/>
          <w:sz w:val="24"/>
          <w:szCs w:val="24"/>
        </w:rPr>
        <w:t>Alexandra Enache, Veronica Ciocan, Camelia Oana Muresan, Talida Georgiana Cut, Dorin Novacescu, Corina Paul, Nicoleta Andreescu, Alexandra Mihailescu, Marius Raica and Raluca Dumache. Postmortem Documentation of SARS-CoV-2 in Utero and Postpartum Transmission, through Amniotic Fluid, Placental, and Pulmonary Tissue RT-PCR. Appl. Sci. 2021, 11(20), 9505; https://doi.org/10.3390/app11209505; IF=2,67</w:t>
      </w:r>
    </w:p>
    <w:p w14:paraId="56ED86CC" w14:textId="77777777" w:rsidR="0099579F" w:rsidRPr="0077542C" w:rsidRDefault="00A018EE" w:rsidP="0077542C">
      <w:pPr>
        <w:pStyle w:val="ListParagraph"/>
        <w:widowControl/>
        <w:numPr>
          <w:ilvl w:val="0"/>
          <w:numId w:val="5"/>
        </w:numPr>
        <w:autoSpaceDE/>
        <w:autoSpaceDN/>
        <w:spacing w:before="120" w:after="120"/>
        <w:ind w:left="864" w:right="864"/>
        <w:rPr>
          <w:rFonts w:ascii="Times New Roman" w:hAnsi="Times New Roman" w:cs="Times New Roman"/>
          <w:sz w:val="24"/>
          <w:szCs w:val="24"/>
        </w:rPr>
      </w:pPr>
      <w:r w:rsidRPr="0077542C">
        <w:rPr>
          <w:rFonts w:ascii="Times New Roman" w:hAnsi="Times New Roman" w:cs="Times New Roman"/>
          <w:sz w:val="24"/>
          <w:szCs w:val="24"/>
        </w:rPr>
        <w:t>Stan, E.; Muresan, C.-O.; Dumache, R.; Ciocan, V.; Ungureanu, S.; Mihailescu, A.; Daescu, E.; Duda-Seiman, C.; Menghiu, G.; Hutanu, D.; et al. From Jane Doe to Sofia: DNA Extraction Protocol from Bones and Teeth without Liquid Nitrogen for Identifying Skeletal Remains. Int. J. Mol. Sci. 2024, 25, 5114. https://doi.org/10.3390/ijms25105114; IF=4,9</w:t>
      </w:r>
    </w:p>
    <w:p w14:paraId="71591ED1" w14:textId="77777777" w:rsidR="0099579F" w:rsidRPr="0077542C" w:rsidRDefault="0099579F" w:rsidP="0077542C">
      <w:pPr>
        <w:widowControl/>
        <w:autoSpaceDE/>
        <w:autoSpaceDN/>
        <w:spacing w:before="120" w:after="120"/>
        <w:ind w:left="864" w:right="864"/>
        <w:jc w:val="both"/>
        <w:rPr>
          <w:rFonts w:ascii="Times New Roman" w:hAnsi="Times New Roman" w:cs="Times New Roman"/>
          <w:sz w:val="24"/>
          <w:szCs w:val="24"/>
        </w:rPr>
      </w:pPr>
    </w:p>
    <w:p w14:paraId="0300288C" w14:textId="77777777" w:rsidR="00A018EE" w:rsidRPr="0077542C" w:rsidRDefault="00A018EE" w:rsidP="0077542C">
      <w:pPr>
        <w:widowControl/>
        <w:autoSpaceDE/>
        <w:autoSpaceDN/>
        <w:spacing w:before="120" w:after="120"/>
        <w:ind w:left="864" w:right="864"/>
        <w:jc w:val="both"/>
        <w:rPr>
          <w:rFonts w:ascii="Times New Roman" w:hAnsi="Times New Roman" w:cs="Times New Roman"/>
          <w:sz w:val="24"/>
          <w:szCs w:val="24"/>
        </w:rPr>
      </w:pPr>
      <w:r w:rsidRPr="0077542C">
        <w:rPr>
          <w:rFonts w:ascii="Times New Roman" w:hAnsi="Times New Roman" w:cs="Times New Roman"/>
          <w:b/>
          <w:sz w:val="24"/>
          <w:szCs w:val="24"/>
        </w:rPr>
        <w:t>Teza de doctorat</w:t>
      </w:r>
      <w:r w:rsidRPr="0077542C">
        <w:rPr>
          <w:rFonts w:ascii="Times New Roman" w:hAnsi="Times New Roman" w:cs="Times New Roman"/>
          <w:sz w:val="24"/>
          <w:szCs w:val="24"/>
        </w:rPr>
        <w:t xml:space="preserve"> cu titlul </w:t>
      </w:r>
    </w:p>
    <w:p w14:paraId="382036A3" w14:textId="77777777" w:rsidR="00A018EE" w:rsidRPr="0077542C" w:rsidRDefault="00A018EE" w:rsidP="0077542C">
      <w:pPr>
        <w:widowControl/>
        <w:autoSpaceDE/>
        <w:autoSpaceDN/>
        <w:spacing w:before="120" w:after="120"/>
        <w:ind w:left="864" w:right="864"/>
        <w:jc w:val="both"/>
        <w:rPr>
          <w:rFonts w:ascii="Times New Roman" w:hAnsi="Times New Roman" w:cs="Times New Roman"/>
          <w:sz w:val="24"/>
          <w:szCs w:val="24"/>
        </w:rPr>
      </w:pPr>
      <w:r w:rsidRPr="0077542C">
        <w:rPr>
          <w:rFonts w:ascii="Times New Roman" w:hAnsi="Times New Roman" w:cs="Times New Roman"/>
          <w:sz w:val="24"/>
          <w:szCs w:val="24"/>
        </w:rPr>
        <w:t xml:space="preserve">“VARIAȚII POLIMORFICE LA COPILUL CU OBEZITATE ȘI REZISTENȚĂ LA INSULINĂ”, coordonator Prof. Univ. Dr. Puiu Maria </w:t>
      </w:r>
    </w:p>
    <w:p w14:paraId="46DCD266" w14:textId="77777777" w:rsidR="00A018EE" w:rsidRPr="0077542C" w:rsidRDefault="00A018EE" w:rsidP="002C7BDD">
      <w:pPr>
        <w:widowControl/>
        <w:autoSpaceDE/>
        <w:autoSpaceDN/>
        <w:ind w:left="864" w:right="864"/>
        <w:jc w:val="both"/>
        <w:rPr>
          <w:rFonts w:ascii="Times New Roman" w:hAnsi="Times New Roman" w:cs="Times New Roman"/>
          <w:sz w:val="24"/>
          <w:szCs w:val="24"/>
        </w:rPr>
      </w:pPr>
      <w:r w:rsidRPr="0077542C">
        <w:rPr>
          <w:rFonts w:ascii="Times New Roman" w:hAnsi="Times New Roman" w:cs="Times New Roman"/>
          <w:sz w:val="24"/>
          <w:szCs w:val="24"/>
        </w:rPr>
        <w:t xml:space="preserve">susținută în 10.02.2022, SUMA CUM LAUDE, </w:t>
      </w:r>
    </w:p>
    <w:p w14:paraId="208072F7" w14:textId="77777777" w:rsidR="00A018EE" w:rsidRPr="0077542C" w:rsidRDefault="00A018EE" w:rsidP="002C7BDD">
      <w:pPr>
        <w:widowControl/>
        <w:autoSpaceDE/>
        <w:autoSpaceDN/>
        <w:ind w:left="864" w:right="864"/>
        <w:jc w:val="both"/>
        <w:rPr>
          <w:rFonts w:ascii="Times New Roman" w:hAnsi="Times New Roman" w:cs="Times New Roman"/>
          <w:sz w:val="24"/>
          <w:szCs w:val="24"/>
        </w:rPr>
      </w:pPr>
      <w:r w:rsidRPr="0077542C">
        <w:rPr>
          <w:rFonts w:ascii="Times New Roman" w:hAnsi="Times New Roman" w:cs="Times New Roman"/>
          <w:sz w:val="24"/>
          <w:szCs w:val="24"/>
        </w:rPr>
        <w:t xml:space="preserve">Universitatea de Medicina si Farmacie "Victor Babes" din Timisoara, </w:t>
      </w:r>
    </w:p>
    <w:p w14:paraId="7AC73462" w14:textId="77777777" w:rsidR="0099579F" w:rsidRPr="0077542C" w:rsidRDefault="00A018EE" w:rsidP="002C7BDD">
      <w:pPr>
        <w:widowControl/>
        <w:autoSpaceDE/>
        <w:autoSpaceDN/>
        <w:ind w:left="864" w:right="864"/>
        <w:jc w:val="both"/>
        <w:rPr>
          <w:rFonts w:ascii="Times New Roman" w:hAnsi="Times New Roman" w:cs="Times New Roman"/>
          <w:sz w:val="24"/>
          <w:szCs w:val="24"/>
        </w:rPr>
      </w:pPr>
      <w:r w:rsidRPr="0077542C">
        <w:rPr>
          <w:rFonts w:ascii="Times New Roman" w:hAnsi="Times New Roman" w:cs="Times New Roman"/>
          <w:sz w:val="24"/>
          <w:szCs w:val="24"/>
        </w:rPr>
        <w:t>confirmată prin OME nr. 3677 din 03.05.2022</w:t>
      </w:r>
    </w:p>
    <w:p w14:paraId="47319ED1" w14:textId="77777777" w:rsidR="00A018EE" w:rsidRPr="0077542C" w:rsidRDefault="00A018EE" w:rsidP="00FF05C3">
      <w:pPr>
        <w:widowControl/>
        <w:autoSpaceDE/>
        <w:autoSpaceDN/>
        <w:spacing w:before="120" w:after="120"/>
        <w:ind w:right="864"/>
        <w:jc w:val="both"/>
        <w:rPr>
          <w:rFonts w:ascii="Times New Roman" w:hAnsi="Times New Roman" w:cs="Times New Roman"/>
          <w:sz w:val="24"/>
          <w:szCs w:val="24"/>
        </w:rPr>
      </w:pPr>
    </w:p>
    <w:p w14:paraId="55A6A4A5" w14:textId="77777777" w:rsidR="00A018EE" w:rsidRPr="0077542C" w:rsidRDefault="00A018EE" w:rsidP="0077542C">
      <w:pPr>
        <w:widowControl/>
        <w:autoSpaceDE/>
        <w:autoSpaceDN/>
        <w:spacing w:before="120" w:after="120"/>
        <w:ind w:left="864" w:right="864"/>
        <w:jc w:val="both"/>
        <w:rPr>
          <w:rFonts w:ascii="Times New Roman" w:hAnsi="Times New Roman" w:cs="Times New Roman"/>
          <w:b/>
          <w:sz w:val="24"/>
          <w:szCs w:val="24"/>
        </w:rPr>
      </w:pPr>
      <w:r w:rsidRPr="0077542C">
        <w:rPr>
          <w:rFonts w:ascii="Times New Roman" w:hAnsi="Times New Roman" w:cs="Times New Roman"/>
          <w:b/>
          <w:sz w:val="24"/>
          <w:szCs w:val="24"/>
        </w:rPr>
        <w:t xml:space="preserve">Lucrări publicate în reviste de specialitate ISI </w:t>
      </w:r>
    </w:p>
    <w:p w14:paraId="75073D48" w14:textId="77777777" w:rsidR="00A018EE" w:rsidRPr="0077542C" w:rsidRDefault="00A018EE" w:rsidP="0077542C">
      <w:pPr>
        <w:widowControl/>
        <w:autoSpaceDE/>
        <w:autoSpaceDN/>
        <w:spacing w:before="120" w:after="120"/>
        <w:ind w:left="864" w:right="864"/>
        <w:jc w:val="both"/>
        <w:rPr>
          <w:rFonts w:ascii="Times New Roman" w:hAnsi="Times New Roman" w:cs="Times New Roman"/>
          <w:sz w:val="24"/>
          <w:szCs w:val="24"/>
        </w:rPr>
      </w:pPr>
      <w:r w:rsidRPr="0077542C">
        <w:rPr>
          <w:rFonts w:ascii="Times New Roman" w:hAnsi="Times New Roman" w:cs="Times New Roman"/>
          <w:sz w:val="24"/>
          <w:szCs w:val="24"/>
        </w:rPr>
        <w:tab/>
        <w:t>Stan, E.; Muresan, C.-O.; Dumache, R.; Ciocan, V.; Ungureanu, S.; Mihailescu, A.; Daescu, E.; Duda-Seiman, C.; Menghiu, G.; Hutanu, D.; et al. From Jane Doe to Sofia: DNA Extraction Protocol from Bones and Teeth without Liquid Nitrogen for Identifying Skeletal Remains. Int. J. Mol. Sci. 2024, 25, 5114. https://doi.org/10.3390/ijms25105114; IF=4,9</w:t>
      </w:r>
    </w:p>
    <w:p w14:paraId="31C6F036" w14:textId="77777777" w:rsidR="00A018EE" w:rsidRPr="0077542C" w:rsidRDefault="00A018EE" w:rsidP="0077542C">
      <w:pPr>
        <w:widowControl/>
        <w:autoSpaceDE/>
        <w:autoSpaceDN/>
        <w:spacing w:before="120" w:after="120"/>
        <w:ind w:left="864" w:right="864"/>
        <w:jc w:val="both"/>
        <w:rPr>
          <w:rFonts w:ascii="Times New Roman" w:hAnsi="Times New Roman" w:cs="Times New Roman"/>
          <w:sz w:val="24"/>
          <w:szCs w:val="24"/>
        </w:rPr>
      </w:pPr>
      <w:r w:rsidRPr="0077542C">
        <w:rPr>
          <w:rFonts w:ascii="Times New Roman" w:hAnsi="Times New Roman" w:cs="Times New Roman"/>
          <w:sz w:val="24"/>
          <w:szCs w:val="24"/>
        </w:rPr>
        <w:tab/>
        <w:t>Raluca Dumache, Alexandra Mihailescu*, Dana Liana David, Flavius-Lucian Herlo, Gabriel Verdeş, Dan Brebu, Ionuţ Faur, Vlad Braicu, Amadeus Dobrescu, Ciprian Duţă. Polymorphisms Of CD44 Rs187115 As A Predictive Biomarker In Early Colorectal Cancer Diagnostic. Chirurgia. 2024. DOI: 10.21614/Chirurgia.3007; IF=0,8</w:t>
      </w:r>
    </w:p>
    <w:p w14:paraId="37FA279A" w14:textId="77777777" w:rsidR="00A018EE" w:rsidRPr="0077542C" w:rsidRDefault="00A018EE" w:rsidP="0077542C">
      <w:pPr>
        <w:widowControl/>
        <w:autoSpaceDE/>
        <w:autoSpaceDN/>
        <w:spacing w:before="120" w:after="120"/>
        <w:ind w:left="864" w:right="864"/>
        <w:jc w:val="both"/>
        <w:rPr>
          <w:rFonts w:ascii="Times New Roman" w:hAnsi="Times New Roman" w:cs="Times New Roman"/>
          <w:sz w:val="24"/>
          <w:szCs w:val="24"/>
        </w:rPr>
      </w:pPr>
      <w:r w:rsidRPr="0077542C">
        <w:rPr>
          <w:rFonts w:ascii="Times New Roman" w:hAnsi="Times New Roman" w:cs="Times New Roman"/>
          <w:sz w:val="24"/>
          <w:szCs w:val="24"/>
        </w:rPr>
        <w:tab/>
        <w:t>Ionescu A, Mihăilescu A, Chiriță-Emandi A, Munagala N, David VL, Dumache R, Săndesc D, Bedreag O, Folescu R, Bratosin F, Barata PI, Cristescu DM, Săndesc MA. Assessing Differential Transfusion Requirements for Children with Congenital Malformations vs. Pediatric Acute Abdomen Emergencies. Diagnostics (Basel). 2024 Oct 4;14(19):2216. doi: 10.3390/diagnostics14192216. PMID: 39410620; IF=3,0</w:t>
      </w:r>
    </w:p>
    <w:p w14:paraId="12CE0C93" w14:textId="77777777" w:rsidR="00A018EE" w:rsidRPr="0077542C" w:rsidRDefault="00A018EE" w:rsidP="0077542C">
      <w:pPr>
        <w:widowControl/>
        <w:autoSpaceDE/>
        <w:autoSpaceDN/>
        <w:spacing w:before="120" w:after="120"/>
        <w:ind w:left="864" w:right="864"/>
        <w:jc w:val="both"/>
        <w:rPr>
          <w:rFonts w:ascii="Times New Roman" w:hAnsi="Times New Roman" w:cs="Times New Roman"/>
          <w:sz w:val="24"/>
          <w:szCs w:val="24"/>
        </w:rPr>
      </w:pPr>
      <w:r w:rsidRPr="0077542C">
        <w:rPr>
          <w:rFonts w:ascii="Times New Roman" w:hAnsi="Times New Roman" w:cs="Times New Roman"/>
          <w:sz w:val="24"/>
          <w:szCs w:val="24"/>
        </w:rPr>
        <w:tab/>
        <w:t>Andreescu N, Sharma A, Mihailescu A, Zimbru CG, David VL, Horhat R, Kundnani NR, Puiu M, Farcas S. Chest wall deformities and their possible associations with different genetic syndromes. Eur Rev Med Pharmacol Sci. 2022 Jul;26(14):5107-5114. doi: 10.26355/eurrev_202207_29298. PMID: 35916808; IF=3,3</w:t>
      </w:r>
    </w:p>
    <w:p w14:paraId="05C51DC6" w14:textId="77777777" w:rsidR="00A018EE" w:rsidRPr="0077542C" w:rsidRDefault="00A018EE" w:rsidP="0077542C">
      <w:pPr>
        <w:widowControl/>
        <w:autoSpaceDE/>
        <w:autoSpaceDN/>
        <w:spacing w:before="120" w:after="120"/>
        <w:ind w:left="864" w:right="864"/>
        <w:jc w:val="both"/>
        <w:rPr>
          <w:rFonts w:ascii="Times New Roman" w:hAnsi="Times New Roman" w:cs="Times New Roman"/>
          <w:sz w:val="24"/>
          <w:szCs w:val="24"/>
        </w:rPr>
      </w:pPr>
      <w:r w:rsidRPr="0077542C">
        <w:rPr>
          <w:rFonts w:ascii="Times New Roman" w:hAnsi="Times New Roman" w:cs="Times New Roman"/>
          <w:sz w:val="24"/>
          <w:szCs w:val="24"/>
        </w:rPr>
        <w:tab/>
        <w:t>Dumache R, Enache A, Macasoi I, Dehelean CA, Dumitrascu V, Mihailescu A, Popescu R, Vlad D, Vlad CS, Muresan C. SARS-CoV-2: An Overview of the Genetic Profile and Vaccine Effectiveness of the Five Variants of Concern. Pathogens. 2022 Apr 26;11(5):516. doi: 10.3390/pathogens11050516. PMID: 35631037; PMCID: PMC9144800; IF=3,4</w:t>
      </w:r>
    </w:p>
    <w:p w14:paraId="7613FB82" w14:textId="77777777" w:rsidR="00A018EE" w:rsidRPr="0077542C" w:rsidRDefault="00A018EE" w:rsidP="0077542C">
      <w:pPr>
        <w:widowControl/>
        <w:autoSpaceDE/>
        <w:autoSpaceDN/>
        <w:spacing w:before="120" w:after="120"/>
        <w:ind w:left="864" w:right="864"/>
        <w:jc w:val="both"/>
        <w:rPr>
          <w:rFonts w:ascii="Times New Roman" w:hAnsi="Times New Roman" w:cs="Times New Roman"/>
          <w:sz w:val="24"/>
          <w:szCs w:val="24"/>
        </w:rPr>
      </w:pPr>
      <w:r w:rsidRPr="0077542C">
        <w:rPr>
          <w:rFonts w:ascii="Times New Roman" w:hAnsi="Times New Roman" w:cs="Times New Roman"/>
          <w:sz w:val="24"/>
          <w:szCs w:val="24"/>
        </w:rPr>
        <w:tab/>
        <w:t>Alexandra Enache, Veronica Ciocan, Camelia Oana Muresan, Talida Georgiana Cut, Dorin Novacescu, Corina Paul, Nicoleta Andreescu, Alexandra Mihailescu, Marius Raica and Raluca Dumache. Postmortem Documentation of SARS-CoV-2 in Utero and Postpartum Transmission, through Amniotic Fluid, Placental, and Pulmonary Tissue RT-PCR. Appl. Sci. 2021, 11(20), 9505; https://doi.org/10.3390/app11209505; IF=2,67</w:t>
      </w:r>
    </w:p>
    <w:p w14:paraId="77A4AE79" w14:textId="77777777" w:rsidR="00A018EE" w:rsidRPr="0077542C" w:rsidRDefault="00A018EE" w:rsidP="0077542C">
      <w:pPr>
        <w:widowControl/>
        <w:autoSpaceDE/>
        <w:autoSpaceDN/>
        <w:spacing w:before="120" w:after="120"/>
        <w:ind w:left="864" w:right="864"/>
        <w:jc w:val="both"/>
        <w:rPr>
          <w:rFonts w:ascii="Times New Roman" w:hAnsi="Times New Roman" w:cs="Times New Roman"/>
          <w:sz w:val="24"/>
          <w:szCs w:val="24"/>
        </w:rPr>
      </w:pPr>
      <w:r w:rsidRPr="0077542C">
        <w:rPr>
          <w:rFonts w:ascii="Times New Roman" w:hAnsi="Times New Roman" w:cs="Times New Roman"/>
          <w:sz w:val="24"/>
          <w:szCs w:val="24"/>
        </w:rPr>
        <w:tab/>
      </w:r>
      <w:r w:rsidRPr="00F37273">
        <w:rPr>
          <w:rFonts w:ascii="Times New Roman" w:hAnsi="Times New Roman" w:cs="Times New Roman"/>
          <w:sz w:val="24"/>
          <w:szCs w:val="24"/>
        </w:rPr>
        <w:t>Mihailescu, A.;Serafim</w:t>
      </w:r>
      <w:r w:rsidRPr="0077542C">
        <w:rPr>
          <w:rFonts w:ascii="Times New Roman" w:hAnsi="Times New Roman" w:cs="Times New Roman"/>
          <w:sz w:val="24"/>
          <w:szCs w:val="24"/>
        </w:rPr>
        <w:t>,V.; Paul, C.; Andreescu, N.; Tiugan, D.-A.; Tutac, P.; Velea, I.; Zimbru, C.G.; Serban, C.L.; Ion, A.I.; et al. Docosahexaenoic Acid and Eicosapentaenoic Acid Intakes Modulate the Association of FADS2 Gene Polymorphism rs526126 with Plasma Free Docosahexaenoic Acid Levels in Overweight Children. Appl. Sci.2021,11,9845. https://doi.org/ 10.3390/app11219845; IF=2,679</w:t>
      </w:r>
    </w:p>
    <w:p w14:paraId="03C648BA" w14:textId="77777777" w:rsidR="00A018EE" w:rsidRPr="0077542C" w:rsidRDefault="00A018EE" w:rsidP="0077542C">
      <w:pPr>
        <w:widowControl/>
        <w:autoSpaceDE/>
        <w:autoSpaceDN/>
        <w:spacing w:before="120" w:after="120"/>
        <w:ind w:left="864" w:right="864"/>
        <w:jc w:val="both"/>
        <w:rPr>
          <w:rFonts w:ascii="Times New Roman" w:hAnsi="Times New Roman" w:cs="Times New Roman"/>
          <w:sz w:val="24"/>
          <w:szCs w:val="24"/>
        </w:rPr>
      </w:pPr>
      <w:r w:rsidRPr="0077542C">
        <w:rPr>
          <w:rFonts w:ascii="Times New Roman" w:hAnsi="Times New Roman" w:cs="Times New Roman"/>
          <w:sz w:val="24"/>
          <w:szCs w:val="24"/>
        </w:rPr>
        <w:tab/>
        <w:t>Alin Ionescu, Abhinav Sharma, Nilima Rajpal Kundnani*, Alexandra     Mihăilescu, et al; Intravenous iron infusion as an alternative to minimize blood transfusion in perioperative patients, Sci Rep; 2020 Oct 27;10(1):18403. doi: 10.1038/s41598-020-75535-2; IF= 3,99</w:t>
      </w:r>
    </w:p>
    <w:p w14:paraId="68E0C948" w14:textId="77777777" w:rsidR="00A018EE" w:rsidRPr="0077542C" w:rsidRDefault="00A018EE" w:rsidP="0077542C">
      <w:pPr>
        <w:widowControl/>
        <w:autoSpaceDE/>
        <w:autoSpaceDN/>
        <w:spacing w:before="120" w:after="120"/>
        <w:ind w:left="864" w:right="864"/>
        <w:jc w:val="both"/>
        <w:rPr>
          <w:rFonts w:ascii="Times New Roman" w:hAnsi="Times New Roman" w:cs="Times New Roman"/>
          <w:sz w:val="24"/>
          <w:szCs w:val="24"/>
        </w:rPr>
      </w:pPr>
      <w:r w:rsidRPr="0077542C">
        <w:rPr>
          <w:rFonts w:ascii="Times New Roman" w:hAnsi="Times New Roman" w:cs="Times New Roman"/>
          <w:sz w:val="24"/>
          <w:szCs w:val="24"/>
        </w:rPr>
        <w:tab/>
        <w:t xml:space="preserve">Vlad Serafim, Diana-Andreea Tiugan, Nicoleta Andreescu*, Alexandra Mihăilescu, Corina Paul, Iulian Velea, Maria Puiu and Mihai Dinu Niculescu; Development and Validation of a LC– MS/MS-Based Assay for Quantification of Free and Total Omega 3 </w:t>
      </w:r>
      <w:r w:rsidRPr="0077542C">
        <w:rPr>
          <w:rFonts w:ascii="Times New Roman" w:hAnsi="Times New Roman" w:cs="Times New Roman"/>
          <w:sz w:val="24"/>
          <w:szCs w:val="24"/>
        </w:rPr>
        <w:lastRenderedPageBreak/>
        <w:t>and 6 Fatty Acids from Human Plasma; Molecules 2019 Jan 20; 24(2):360. doi: 10.3390/molecules24020360 2019; IF = 3.2</w:t>
      </w:r>
    </w:p>
    <w:p w14:paraId="1296B476" w14:textId="71E74F46" w:rsidR="00A018EE" w:rsidRPr="0077542C" w:rsidRDefault="00A018EE" w:rsidP="0077542C">
      <w:pPr>
        <w:widowControl/>
        <w:autoSpaceDE/>
        <w:autoSpaceDN/>
        <w:spacing w:before="120" w:after="120"/>
        <w:ind w:left="864" w:right="864"/>
        <w:jc w:val="both"/>
        <w:rPr>
          <w:rFonts w:ascii="Times New Roman" w:hAnsi="Times New Roman" w:cs="Times New Roman"/>
          <w:sz w:val="24"/>
          <w:szCs w:val="24"/>
        </w:rPr>
      </w:pPr>
      <w:r w:rsidRPr="0077542C">
        <w:rPr>
          <w:rFonts w:ascii="Times New Roman" w:hAnsi="Times New Roman" w:cs="Times New Roman"/>
          <w:sz w:val="24"/>
          <w:szCs w:val="24"/>
        </w:rPr>
        <w:tab/>
        <w:t>Raluca Dumache, Maria Puiu, Alexandra Mihăilescu</w:t>
      </w:r>
      <w:r w:rsidR="00F37273">
        <w:rPr>
          <w:rFonts w:ascii="Times New Roman" w:hAnsi="Times New Roman" w:cs="Times New Roman"/>
          <w:sz w:val="24"/>
          <w:szCs w:val="24"/>
        </w:rPr>
        <w:t>*</w:t>
      </w:r>
      <w:r w:rsidRPr="0077542C">
        <w:rPr>
          <w:rFonts w:ascii="Times New Roman" w:hAnsi="Times New Roman" w:cs="Times New Roman"/>
          <w:sz w:val="24"/>
          <w:szCs w:val="24"/>
        </w:rPr>
        <w:t>, Alexandra Enache; Detection of Mutations in Short Tandem Repeats (STRs) Loci in Paternity Testing in Romanian Population; Clinical Laboratory 2020, doi: 10.7754/Clin.Lab.2020.200103; IF=1,224</w:t>
      </w:r>
    </w:p>
    <w:p w14:paraId="3A95DC86" w14:textId="77777777" w:rsidR="00A018EE" w:rsidRPr="0077542C" w:rsidRDefault="00A018EE" w:rsidP="0077542C">
      <w:pPr>
        <w:widowControl/>
        <w:autoSpaceDE/>
        <w:autoSpaceDN/>
        <w:spacing w:before="120" w:after="120"/>
        <w:ind w:left="864" w:right="864"/>
        <w:jc w:val="both"/>
        <w:rPr>
          <w:rFonts w:ascii="Times New Roman" w:hAnsi="Times New Roman" w:cs="Times New Roman"/>
          <w:sz w:val="24"/>
          <w:szCs w:val="24"/>
        </w:rPr>
      </w:pPr>
      <w:r w:rsidRPr="0077542C">
        <w:rPr>
          <w:rFonts w:ascii="Times New Roman" w:hAnsi="Times New Roman" w:cs="Times New Roman"/>
          <w:sz w:val="24"/>
          <w:szCs w:val="24"/>
        </w:rPr>
        <w:tab/>
        <w:t>Adela Chirita-Emandi, Nicoleta Andreescu, Cristina Popa, Alexandra Mihăilescu, Anca-Lelia Riza, Razvan Plesea, Mihai Ioana, Smaranda Arghirescu, Maria Puiu; Biallelic variants in BRCA1 gene cause a recognisable phenotype within chromosomal instability syndrome</w:t>
      </w:r>
      <w:r w:rsidR="0077542C">
        <w:rPr>
          <w:rFonts w:ascii="Times New Roman" w:hAnsi="Times New Roman" w:cs="Times New Roman"/>
          <w:sz w:val="24"/>
          <w:szCs w:val="24"/>
        </w:rPr>
        <w:t>s reframed as BRCA1 deficiency;</w:t>
      </w:r>
      <w:r w:rsidRPr="0077542C">
        <w:rPr>
          <w:rFonts w:ascii="Times New Roman" w:hAnsi="Times New Roman" w:cs="Times New Roman"/>
          <w:sz w:val="24"/>
          <w:szCs w:val="24"/>
        </w:rPr>
        <w:t xml:space="preserve"> Journal of Medical Genetics 2020; IF= 6.318</w:t>
      </w:r>
    </w:p>
    <w:p w14:paraId="2239C95D" w14:textId="77777777" w:rsidR="00A018EE" w:rsidRPr="0077542C" w:rsidRDefault="00A018EE" w:rsidP="0077542C">
      <w:pPr>
        <w:widowControl/>
        <w:autoSpaceDE/>
        <w:autoSpaceDN/>
        <w:spacing w:before="120" w:after="120"/>
        <w:ind w:left="864" w:right="864"/>
        <w:jc w:val="both"/>
        <w:rPr>
          <w:rFonts w:ascii="Times New Roman" w:hAnsi="Times New Roman" w:cs="Times New Roman"/>
          <w:sz w:val="24"/>
          <w:szCs w:val="24"/>
        </w:rPr>
      </w:pPr>
      <w:r w:rsidRPr="0077542C">
        <w:rPr>
          <w:rFonts w:ascii="Times New Roman" w:hAnsi="Times New Roman" w:cs="Times New Roman"/>
          <w:sz w:val="24"/>
          <w:szCs w:val="24"/>
        </w:rPr>
        <w:tab/>
        <w:t>Vlad Serafim, Adela Chirita-Emandi, Nicoleta Andreescu*, Diana- Andreea Tiugan, Paul Tutac, Corina Paul, Iulian Velea, Alexandra Mihăilescu, Costela Lăcrimioara Șerban, Cristian G. Zimbru, Maria Puiu, Mihai Dinu Niculescu; Single Nucleotide Polymorphisms in PEMT and MTHFR Genes are Associated with Omega 3 and 6 Fatty Acid Levels in the Red Blood Cells of Children with Obesity; Nutrients.2019 Oct 30;11(11):2600. doi: 10.3390/nu11112600; IF=4.171</w:t>
      </w:r>
    </w:p>
    <w:p w14:paraId="1DEEAF9B" w14:textId="77777777" w:rsidR="00A018EE" w:rsidRPr="0077542C" w:rsidRDefault="00A018EE" w:rsidP="0077542C">
      <w:pPr>
        <w:widowControl/>
        <w:autoSpaceDE/>
        <w:autoSpaceDN/>
        <w:spacing w:before="120" w:after="120"/>
        <w:ind w:left="864" w:right="864"/>
        <w:jc w:val="both"/>
        <w:rPr>
          <w:rFonts w:ascii="Times New Roman" w:hAnsi="Times New Roman" w:cs="Times New Roman"/>
          <w:sz w:val="24"/>
          <w:szCs w:val="24"/>
        </w:rPr>
      </w:pPr>
      <w:r w:rsidRPr="0077542C">
        <w:rPr>
          <w:rFonts w:ascii="Times New Roman" w:hAnsi="Times New Roman" w:cs="Times New Roman"/>
          <w:sz w:val="24"/>
          <w:szCs w:val="24"/>
        </w:rPr>
        <w:tab/>
        <w:t>R. Dumache, A. Enache, C. Paul, A. Mihailescu, A. Ionescu, D. Novacescu, A. Marinescu, V. Ciocan, C. Muresan, A. Voicu Deficiency of Vitamin D, a Major Risk Factor for SARS-CoV-2 Severity, CLINICAL LABORATORY 2022 68 (3), pp.455-462 F=0,7</w:t>
      </w:r>
    </w:p>
    <w:p w14:paraId="68D39756" w14:textId="77777777" w:rsidR="00A018EE" w:rsidRPr="0077542C" w:rsidRDefault="00A018EE" w:rsidP="0077542C">
      <w:pPr>
        <w:widowControl/>
        <w:autoSpaceDE/>
        <w:autoSpaceDN/>
        <w:spacing w:before="120" w:after="120"/>
        <w:ind w:left="864" w:right="864"/>
        <w:jc w:val="both"/>
        <w:rPr>
          <w:rFonts w:ascii="Times New Roman" w:hAnsi="Times New Roman" w:cs="Times New Roman"/>
          <w:sz w:val="24"/>
          <w:szCs w:val="24"/>
        </w:rPr>
      </w:pPr>
      <w:r w:rsidRPr="0077542C">
        <w:rPr>
          <w:rFonts w:ascii="Times New Roman" w:hAnsi="Times New Roman" w:cs="Times New Roman"/>
          <w:sz w:val="24"/>
          <w:szCs w:val="24"/>
        </w:rPr>
        <w:tab/>
        <w:t xml:space="preserve">Adela Chirita-Emandi, Costela Lacrimioara Serban, Corina Paul, Nicoleta Andreescu, Iulian Velea, Alexandra Mihailescu, Vlad Serafim, Diana-Andreea Tiugan, Paul Tutac, Cristian Zimbru, Maria Puiu, Mihai Dinu Niculescu. CHDH- PNPLA3 Gene–Gene Interactions Predict Insulin Resistance in Children with Obesity. Diabetes Metab Syndr Obes. 2020 Nov 19;13:4483-4494.IF=3.168 </w:t>
      </w:r>
    </w:p>
    <w:p w14:paraId="1861A9C4" w14:textId="77777777" w:rsidR="0077542C" w:rsidRPr="0077542C" w:rsidRDefault="0077542C" w:rsidP="0077542C">
      <w:pPr>
        <w:widowControl/>
        <w:autoSpaceDE/>
        <w:autoSpaceDN/>
        <w:spacing w:before="120" w:after="120"/>
        <w:ind w:left="864" w:right="864"/>
        <w:jc w:val="both"/>
        <w:rPr>
          <w:rFonts w:ascii="Times New Roman" w:hAnsi="Times New Roman" w:cs="Times New Roman"/>
          <w:sz w:val="24"/>
          <w:szCs w:val="24"/>
        </w:rPr>
      </w:pPr>
    </w:p>
    <w:p w14:paraId="75BA90C7" w14:textId="77777777" w:rsidR="00A018EE" w:rsidRPr="0077542C" w:rsidRDefault="0077542C" w:rsidP="0077542C">
      <w:pPr>
        <w:widowControl/>
        <w:autoSpaceDE/>
        <w:autoSpaceDN/>
        <w:spacing w:before="120" w:after="120"/>
        <w:ind w:left="864" w:right="864"/>
        <w:jc w:val="both"/>
        <w:rPr>
          <w:rFonts w:ascii="Times New Roman" w:hAnsi="Times New Roman" w:cs="Times New Roman"/>
          <w:b/>
          <w:sz w:val="24"/>
          <w:szCs w:val="24"/>
        </w:rPr>
      </w:pPr>
      <w:r w:rsidRPr="0077542C">
        <w:rPr>
          <w:rFonts w:ascii="Times New Roman" w:hAnsi="Times New Roman" w:cs="Times New Roman"/>
          <w:b/>
          <w:sz w:val="24"/>
          <w:szCs w:val="24"/>
        </w:rPr>
        <w:t>Lucrări publicate</w:t>
      </w:r>
      <w:r w:rsidR="00A018EE" w:rsidRPr="0077542C">
        <w:rPr>
          <w:rFonts w:ascii="Times New Roman" w:hAnsi="Times New Roman" w:cs="Times New Roman"/>
          <w:b/>
          <w:sz w:val="24"/>
          <w:szCs w:val="24"/>
        </w:rPr>
        <w:t xml:space="preserve"> în rezumat</w:t>
      </w:r>
      <w:r w:rsidRPr="0077542C">
        <w:rPr>
          <w:rFonts w:ascii="Times New Roman" w:hAnsi="Times New Roman" w:cs="Times New Roman"/>
          <w:b/>
          <w:sz w:val="24"/>
          <w:szCs w:val="24"/>
        </w:rPr>
        <w:t xml:space="preserve"> în reviste de specialitate ISI</w:t>
      </w:r>
    </w:p>
    <w:p w14:paraId="11511490" w14:textId="77777777" w:rsidR="00A018EE" w:rsidRDefault="00A018EE" w:rsidP="0077542C">
      <w:pPr>
        <w:widowControl/>
        <w:autoSpaceDE/>
        <w:autoSpaceDN/>
        <w:spacing w:before="120" w:after="120"/>
        <w:ind w:left="864" w:right="864"/>
        <w:jc w:val="both"/>
        <w:rPr>
          <w:rFonts w:ascii="Times New Roman" w:hAnsi="Times New Roman" w:cs="Times New Roman"/>
          <w:sz w:val="24"/>
          <w:szCs w:val="24"/>
        </w:rPr>
      </w:pPr>
      <w:r w:rsidRPr="0077542C">
        <w:rPr>
          <w:rFonts w:ascii="Times New Roman" w:hAnsi="Times New Roman" w:cs="Times New Roman"/>
          <w:sz w:val="24"/>
          <w:szCs w:val="24"/>
        </w:rPr>
        <w:tab/>
        <w:t xml:space="preserve">Perva, I, Perva, C, Rusu, D, Farcas, S, Chirita-Emandi, A, Andreescu, N, Mihailescu, A, Zimbru, C, Morar, N, Puiu, M Karyotyping Optimised Online Learning, EUROPEAN JOURNAL OF HUMAN GENETICS, 50th European-Society-of-Human-Genetics (ESHG) Conference, MAY 27-30, 2017, Copenhagen, DENMARK </w:t>
      </w:r>
    </w:p>
    <w:p w14:paraId="6E8E8BF0" w14:textId="77777777" w:rsidR="0077542C" w:rsidRPr="0077542C" w:rsidRDefault="0077542C" w:rsidP="0077542C">
      <w:pPr>
        <w:widowControl/>
        <w:autoSpaceDE/>
        <w:autoSpaceDN/>
        <w:spacing w:before="120" w:after="120"/>
        <w:ind w:left="864" w:right="864"/>
        <w:jc w:val="both"/>
        <w:rPr>
          <w:rFonts w:ascii="Times New Roman" w:hAnsi="Times New Roman" w:cs="Times New Roman"/>
          <w:sz w:val="24"/>
          <w:szCs w:val="24"/>
        </w:rPr>
      </w:pPr>
    </w:p>
    <w:p w14:paraId="6D9B55CB" w14:textId="77777777" w:rsidR="00A018EE" w:rsidRPr="002C7BDD" w:rsidRDefault="00A018EE" w:rsidP="0077542C">
      <w:pPr>
        <w:widowControl/>
        <w:autoSpaceDE/>
        <w:autoSpaceDN/>
        <w:spacing w:before="120" w:after="120"/>
        <w:ind w:left="864" w:right="864"/>
        <w:jc w:val="both"/>
        <w:rPr>
          <w:rFonts w:ascii="Times New Roman" w:hAnsi="Times New Roman" w:cs="Times New Roman"/>
          <w:b/>
          <w:sz w:val="24"/>
          <w:szCs w:val="24"/>
        </w:rPr>
      </w:pPr>
      <w:r w:rsidRPr="002C7BDD">
        <w:rPr>
          <w:rFonts w:ascii="Times New Roman" w:hAnsi="Times New Roman" w:cs="Times New Roman"/>
          <w:b/>
          <w:sz w:val="24"/>
          <w:szCs w:val="24"/>
        </w:rPr>
        <w:t>Lucrări publicate în reviste indexate BDI (co-autor)</w:t>
      </w:r>
    </w:p>
    <w:p w14:paraId="7B374441" w14:textId="77777777" w:rsidR="00A018EE" w:rsidRPr="0077542C" w:rsidRDefault="00A018EE" w:rsidP="002C7BDD">
      <w:pPr>
        <w:widowControl/>
        <w:autoSpaceDE/>
        <w:autoSpaceDN/>
        <w:spacing w:before="120" w:after="120"/>
        <w:ind w:left="864" w:right="864" w:firstLine="576"/>
        <w:jc w:val="both"/>
        <w:rPr>
          <w:rFonts w:ascii="Times New Roman" w:hAnsi="Times New Roman" w:cs="Times New Roman"/>
          <w:sz w:val="24"/>
          <w:szCs w:val="24"/>
        </w:rPr>
      </w:pPr>
      <w:r w:rsidRPr="0077542C">
        <w:rPr>
          <w:rFonts w:ascii="Times New Roman" w:hAnsi="Times New Roman" w:cs="Times New Roman"/>
          <w:sz w:val="24"/>
          <w:szCs w:val="24"/>
        </w:rPr>
        <w:t>IE Jurca Simina, A Chirita-Emandi, N Andreescu, S Farcaș, A Mihailescu, AM Popa, P Tutac, C Zimbru, AI Dobrescu, IT Perva, A Murariu, M Puiu BURDEN OF RARE GENETIC DISEASES –EXPERIENCE OF TIMIS REGIONAL CENTRE OF MEDICAL GENETICS, ROMANIA Jurnalul Pediatrului, 2019, XXII(85-86):56-65</w:t>
      </w:r>
    </w:p>
    <w:p w14:paraId="12426707" w14:textId="77777777" w:rsidR="00A018EE" w:rsidRPr="0077542C" w:rsidRDefault="00A018EE" w:rsidP="0077542C">
      <w:pPr>
        <w:widowControl/>
        <w:autoSpaceDE/>
        <w:autoSpaceDN/>
        <w:spacing w:before="120" w:after="120"/>
        <w:ind w:left="864" w:right="864"/>
        <w:jc w:val="both"/>
        <w:rPr>
          <w:rFonts w:ascii="Times New Roman" w:hAnsi="Times New Roman" w:cs="Times New Roman"/>
          <w:sz w:val="24"/>
          <w:szCs w:val="24"/>
        </w:rPr>
      </w:pPr>
    </w:p>
    <w:sectPr w:rsidR="00A018EE" w:rsidRPr="0077542C" w:rsidSect="00014768">
      <w:pgSz w:w="11910" w:h="16840"/>
      <w:pgMar w:top="720" w:right="720" w:bottom="720" w:left="720" w:header="674" w:footer="504"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425EB"/>
    <w:multiLevelType w:val="hybridMultilevel"/>
    <w:tmpl w:val="D520D7A2"/>
    <w:lvl w:ilvl="0" w:tplc="04090009">
      <w:start w:val="1"/>
      <w:numFmt w:val="bullet"/>
      <w:lvlText w:val=""/>
      <w:lvlJc w:val="left"/>
      <w:pPr>
        <w:ind w:left="3130" w:hanging="360"/>
      </w:pPr>
      <w:rPr>
        <w:rFonts w:ascii="Wingdings" w:hAnsi="Wingdings" w:hint="default"/>
      </w:rPr>
    </w:lvl>
    <w:lvl w:ilvl="1" w:tplc="04090003">
      <w:start w:val="1"/>
      <w:numFmt w:val="bullet"/>
      <w:lvlText w:val="o"/>
      <w:lvlJc w:val="left"/>
      <w:pPr>
        <w:ind w:left="3850" w:hanging="360"/>
      </w:pPr>
      <w:rPr>
        <w:rFonts w:ascii="Courier New" w:hAnsi="Courier New" w:cs="Courier New" w:hint="default"/>
      </w:rPr>
    </w:lvl>
    <w:lvl w:ilvl="2" w:tplc="04090005">
      <w:start w:val="1"/>
      <w:numFmt w:val="bullet"/>
      <w:lvlText w:val=""/>
      <w:lvlJc w:val="left"/>
      <w:pPr>
        <w:ind w:left="4570" w:hanging="360"/>
      </w:pPr>
      <w:rPr>
        <w:rFonts w:ascii="Wingdings" w:hAnsi="Wingdings" w:hint="default"/>
      </w:rPr>
    </w:lvl>
    <w:lvl w:ilvl="3" w:tplc="04090001">
      <w:start w:val="1"/>
      <w:numFmt w:val="bullet"/>
      <w:lvlText w:val=""/>
      <w:lvlJc w:val="left"/>
      <w:pPr>
        <w:ind w:left="5290" w:hanging="360"/>
      </w:pPr>
      <w:rPr>
        <w:rFonts w:ascii="Symbol" w:hAnsi="Symbol" w:hint="default"/>
      </w:rPr>
    </w:lvl>
    <w:lvl w:ilvl="4" w:tplc="04090003">
      <w:start w:val="1"/>
      <w:numFmt w:val="bullet"/>
      <w:lvlText w:val="o"/>
      <w:lvlJc w:val="left"/>
      <w:pPr>
        <w:ind w:left="6010" w:hanging="360"/>
      </w:pPr>
      <w:rPr>
        <w:rFonts w:ascii="Courier New" w:hAnsi="Courier New" w:cs="Courier New" w:hint="default"/>
      </w:rPr>
    </w:lvl>
    <w:lvl w:ilvl="5" w:tplc="04090005">
      <w:start w:val="1"/>
      <w:numFmt w:val="bullet"/>
      <w:lvlText w:val=""/>
      <w:lvlJc w:val="left"/>
      <w:pPr>
        <w:ind w:left="6730" w:hanging="360"/>
      </w:pPr>
      <w:rPr>
        <w:rFonts w:ascii="Wingdings" w:hAnsi="Wingdings" w:hint="default"/>
      </w:rPr>
    </w:lvl>
    <w:lvl w:ilvl="6" w:tplc="04090001">
      <w:start w:val="1"/>
      <w:numFmt w:val="bullet"/>
      <w:lvlText w:val=""/>
      <w:lvlJc w:val="left"/>
      <w:pPr>
        <w:ind w:left="7450" w:hanging="360"/>
      </w:pPr>
      <w:rPr>
        <w:rFonts w:ascii="Symbol" w:hAnsi="Symbol" w:hint="default"/>
      </w:rPr>
    </w:lvl>
    <w:lvl w:ilvl="7" w:tplc="04090003">
      <w:start w:val="1"/>
      <w:numFmt w:val="bullet"/>
      <w:lvlText w:val="o"/>
      <w:lvlJc w:val="left"/>
      <w:pPr>
        <w:ind w:left="8170" w:hanging="360"/>
      </w:pPr>
      <w:rPr>
        <w:rFonts w:ascii="Courier New" w:hAnsi="Courier New" w:cs="Courier New" w:hint="default"/>
      </w:rPr>
    </w:lvl>
    <w:lvl w:ilvl="8" w:tplc="04090005">
      <w:start w:val="1"/>
      <w:numFmt w:val="bullet"/>
      <w:lvlText w:val=""/>
      <w:lvlJc w:val="left"/>
      <w:pPr>
        <w:ind w:left="8890" w:hanging="360"/>
      </w:pPr>
      <w:rPr>
        <w:rFonts w:ascii="Wingdings" w:hAnsi="Wingdings" w:hint="default"/>
      </w:rPr>
    </w:lvl>
  </w:abstractNum>
  <w:abstractNum w:abstractNumId="1" w15:restartNumberingAfterBreak="0">
    <w:nsid w:val="1C867848"/>
    <w:multiLevelType w:val="hybridMultilevel"/>
    <w:tmpl w:val="8A5A0A82"/>
    <w:lvl w:ilvl="0" w:tplc="04090009">
      <w:start w:val="1"/>
      <w:numFmt w:val="bullet"/>
      <w:lvlText w:val=""/>
      <w:lvlJc w:val="left"/>
      <w:pPr>
        <w:ind w:left="3130" w:hanging="360"/>
      </w:pPr>
      <w:rPr>
        <w:rFonts w:ascii="Wingdings" w:hAnsi="Wingdings" w:hint="default"/>
      </w:rPr>
    </w:lvl>
    <w:lvl w:ilvl="1" w:tplc="04090003">
      <w:start w:val="1"/>
      <w:numFmt w:val="bullet"/>
      <w:lvlText w:val="o"/>
      <w:lvlJc w:val="left"/>
      <w:pPr>
        <w:ind w:left="3850" w:hanging="360"/>
      </w:pPr>
      <w:rPr>
        <w:rFonts w:ascii="Courier New" w:hAnsi="Courier New" w:cs="Times New Roman" w:hint="default"/>
      </w:rPr>
    </w:lvl>
    <w:lvl w:ilvl="2" w:tplc="04090005">
      <w:start w:val="1"/>
      <w:numFmt w:val="bullet"/>
      <w:lvlText w:val=""/>
      <w:lvlJc w:val="left"/>
      <w:pPr>
        <w:ind w:left="4570" w:hanging="360"/>
      </w:pPr>
      <w:rPr>
        <w:rFonts w:ascii="Wingdings" w:hAnsi="Wingdings" w:hint="default"/>
      </w:rPr>
    </w:lvl>
    <w:lvl w:ilvl="3" w:tplc="04090001">
      <w:start w:val="1"/>
      <w:numFmt w:val="bullet"/>
      <w:lvlText w:val=""/>
      <w:lvlJc w:val="left"/>
      <w:pPr>
        <w:ind w:left="5290" w:hanging="360"/>
      </w:pPr>
      <w:rPr>
        <w:rFonts w:ascii="Symbol" w:hAnsi="Symbol" w:hint="default"/>
      </w:rPr>
    </w:lvl>
    <w:lvl w:ilvl="4" w:tplc="04090003">
      <w:start w:val="1"/>
      <w:numFmt w:val="bullet"/>
      <w:lvlText w:val="o"/>
      <w:lvlJc w:val="left"/>
      <w:pPr>
        <w:ind w:left="6010" w:hanging="360"/>
      </w:pPr>
      <w:rPr>
        <w:rFonts w:ascii="Courier New" w:hAnsi="Courier New" w:cs="Times New Roman" w:hint="default"/>
      </w:rPr>
    </w:lvl>
    <w:lvl w:ilvl="5" w:tplc="04090005">
      <w:start w:val="1"/>
      <w:numFmt w:val="bullet"/>
      <w:lvlText w:val=""/>
      <w:lvlJc w:val="left"/>
      <w:pPr>
        <w:ind w:left="6730" w:hanging="360"/>
      </w:pPr>
      <w:rPr>
        <w:rFonts w:ascii="Wingdings" w:hAnsi="Wingdings" w:hint="default"/>
      </w:rPr>
    </w:lvl>
    <w:lvl w:ilvl="6" w:tplc="04090001">
      <w:start w:val="1"/>
      <w:numFmt w:val="bullet"/>
      <w:lvlText w:val=""/>
      <w:lvlJc w:val="left"/>
      <w:pPr>
        <w:ind w:left="7450" w:hanging="360"/>
      </w:pPr>
      <w:rPr>
        <w:rFonts w:ascii="Symbol" w:hAnsi="Symbol" w:hint="default"/>
      </w:rPr>
    </w:lvl>
    <w:lvl w:ilvl="7" w:tplc="04090003">
      <w:start w:val="1"/>
      <w:numFmt w:val="bullet"/>
      <w:lvlText w:val="o"/>
      <w:lvlJc w:val="left"/>
      <w:pPr>
        <w:ind w:left="8170" w:hanging="360"/>
      </w:pPr>
      <w:rPr>
        <w:rFonts w:ascii="Courier New" w:hAnsi="Courier New" w:cs="Times New Roman" w:hint="default"/>
      </w:rPr>
    </w:lvl>
    <w:lvl w:ilvl="8" w:tplc="04090005">
      <w:start w:val="1"/>
      <w:numFmt w:val="bullet"/>
      <w:lvlText w:val=""/>
      <w:lvlJc w:val="left"/>
      <w:pPr>
        <w:ind w:left="8890" w:hanging="360"/>
      </w:pPr>
      <w:rPr>
        <w:rFonts w:ascii="Wingdings" w:hAnsi="Wingdings" w:hint="default"/>
      </w:rPr>
    </w:lvl>
  </w:abstractNum>
  <w:abstractNum w:abstractNumId="2" w15:restartNumberingAfterBreak="0">
    <w:nsid w:val="3B3E6CCE"/>
    <w:multiLevelType w:val="hybridMultilevel"/>
    <w:tmpl w:val="039CDB96"/>
    <w:lvl w:ilvl="0" w:tplc="04090009">
      <w:start w:val="1"/>
      <w:numFmt w:val="bullet"/>
      <w:lvlText w:val=""/>
      <w:lvlJc w:val="left"/>
      <w:pPr>
        <w:ind w:left="1114" w:hanging="360"/>
      </w:pPr>
      <w:rPr>
        <w:rFonts w:ascii="Wingdings" w:hAnsi="Wingdings" w:hint="default"/>
      </w:rPr>
    </w:lvl>
    <w:lvl w:ilvl="1" w:tplc="04090003">
      <w:start w:val="1"/>
      <w:numFmt w:val="bullet"/>
      <w:lvlText w:val="o"/>
      <w:lvlJc w:val="left"/>
      <w:pPr>
        <w:ind w:left="1834" w:hanging="360"/>
      </w:pPr>
      <w:rPr>
        <w:rFonts w:ascii="Courier New" w:hAnsi="Courier New" w:cs="Times New Roman" w:hint="default"/>
      </w:rPr>
    </w:lvl>
    <w:lvl w:ilvl="2" w:tplc="04090005">
      <w:start w:val="1"/>
      <w:numFmt w:val="bullet"/>
      <w:lvlText w:val=""/>
      <w:lvlJc w:val="left"/>
      <w:pPr>
        <w:ind w:left="2554" w:hanging="360"/>
      </w:pPr>
      <w:rPr>
        <w:rFonts w:ascii="Wingdings" w:hAnsi="Wingdings" w:hint="default"/>
      </w:rPr>
    </w:lvl>
    <w:lvl w:ilvl="3" w:tplc="04090001">
      <w:start w:val="1"/>
      <w:numFmt w:val="bullet"/>
      <w:lvlText w:val=""/>
      <w:lvlJc w:val="left"/>
      <w:pPr>
        <w:ind w:left="3274" w:hanging="360"/>
      </w:pPr>
      <w:rPr>
        <w:rFonts w:ascii="Symbol" w:hAnsi="Symbol" w:hint="default"/>
      </w:rPr>
    </w:lvl>
    <w:lvl w:ilvl="4" w:tplc="04090003">
      <w:start w:val="1"/>
      <w:numFmt w:val="bullet"/>
      <w:lvlText w:val="o"/>
      <w:lvlJc w:val="left"/>
      <w:pPr>
        <w:ind w:left="3994" w:hanging="360"/>
      </w:pPr>
      <w:rPr>
        <w:rFonts w:ascii="Courier New" w:hAnsi="Courier New" w:cs="Times New Roman" w:hint="default"/>
      </w:rPr>
    </w:lvl>
    <w:lvl w:ilvl="5" w:tplc="04090005">
      <w:start w:val="1"/>
      <w:numFmt w:val="bullet"/>
      <w:lvlText w:val=""/>
      <w:lvlJc w:val="left"/>
      <w:pPr>
        <w:ind w:left="4714" w:hanging="360"/>
      </w:pPr>
      <w:rPr>
        <w:rFonts w:ascii="Wingdings" w:hAnsi="Wingdings" w:hint="default"/>
      </w:rPr>
    </w:lvl>
    <w:lvl w:ilvl="6" w:tplc="04090001">
      <w:start w:val="1"/>
      <w:numFmt w:val="bullet"/>
      <w:lvlText w:val=""/>
      <w:lvlJc w:val="left"/>
      <w:pPr>
        <w:ind w:left="5434" w:hanging="360"/>
      </w:pPr>
      <w:rPr>
        <w:rFonts w:ascii="Symbol" w:hAnsi="Symbol" w:hint="default"/>
      </w:rPr>
    </w:lvl>
    <w:lvl w:ilvl="7" w:tplc="04090003">
      <w:start w:val="1"/>
      <w:numFmt w:val="bullet"/>
      <w:lvlText w:val="o"/>
      <w:lvlJc w:val="left"/>
      <w:pPr>
        <w:ind w:left="6154" w:hanging="360"/>
      </w:pPr>
      <w:rPr>
        <w:rFonts w:ascii="Courier New" w:hAnsi="Courier New" w:cs="Times New Roman" w:hint="default"/>
      </w:rPr>
    </w:lvl>
    <w:lvl w:ilvl="8" w:tplc="04090005">
      <w:start w:val="1"/>
      <w:numFmt w:val="bullet"/>
      <w:lvlText w:val=""/>
      <w:lvlJc w:val="left"/>
      <w:pPr>
        <w:ind w:left="6874" w:hanging="360"/>
      </w:pPr>
      <w:rPr>
        <w:rFonts w:ascii="Wingdings" w:hAnsi="Wingdings" w:hint="default"/>
      </w:rPr>
    </w:lvl>
  </w:abstractNum>
  <w:abstractNum w:abstractNumId="3" w15:restartNumberingAfterBreak="0">
    <w:nsid w:val="670E51B1"/>
    <w:multiLevelType w:val="hybridMultilevel"/>
    <w:tmpl w:val="DE7A6F26"/>
    <w:lvl w:ilvl="0" w:tplc="FB3AA268">
      <w:start w:val="1"/>
      <w:numFmt w:val="decimal"/>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4" w15:restartNumberingAfterBreak="0">
    <w:nsid w:val="778F7D01"/>
    <w:multiLevelType w:val="hybridMultilevel"/>
    <w:tmpl w:val="D0328868"/>
    <w:lvl w:ilvl="0" w:tplc="7804D6B4">
      <w:numFmt w:val="bullet"/>
      <w:lvlText w:val=""/>
      <w:lvlJc w:val="left"/>
      <w:pPr>
        <w:ind w:left="754" w:hanging="360"/>
      </w:pPr>
      <w:rPr>
        <w:rFonts w:ascii="Wingdings" w:eastAsia="Wingdings" w:hAnsi="Wingdings" w:cs="Wingdings" w:hint="default"/>
        <w:color w:val="17365D"/>
        <w:w w:val="105"/>
        <w:sz w:val="22"/>
        <w:szCs w:val="22"/>
        <w:lang w:val="ro-RO" w:eastAsia="en-US" w:bidi="ar-SA"/>
      </w:rPr>
    </w:lvl>
    <w:lvl w:ilvl="1" w:tplc="7A0EEB3E">
      <w:numFmt w:val="bullet"/>
      <w:lvlText w:val=""/>
      <w:lvlJc w:val="left"/>
      <w:pPr>
        <w:ind w:left="2391" w:hanging="361"/>
      </w:pPr>
      <w:rPr>
        <w:rFonts w:ascii="Wingdings" w:eastAsia="Wingdings" w:hAnsi="Wingdings" w:cs="Wingdings" w:hint="default"/>
        <w:color w:val="17365D"/>
        <w:w w:val="100"/>
        <w:sz w:val="22"/>
        <w:szCs w:val="22"/>
        <w:lang w:val="ro-RO" w:eastAsia="en-US" w:bidi="ar-SA"/>
      </w:rPr>
    </w:lvl>
    <w:lvl w:ilvl="2" w:tplc="6320413A">
      <w:numFmt w:val="bullet"/>
      <w:lvlText w:val=""/>
      <w:lvlJc w:val="left"/>
      <w:pPr>
        <w:ind w:left="2473" w:hanging="361"/>
      </w:pPr>
      <w:rPr>
        <w:rFonts w:ascii="Wingdings" w:eastAsia="Wingdings" w:hAnsi="Wingdings" w:cs="Wingdings" w:hint="default"/>
        <w:color w:val="17365D"/>
        <w:w w:val="100"/>
        <w:sz w:val="22"/>
        <w:szCs w:val="22"/>
        <w:lang w:val="ro-RO" w:eastAsia="en-US" w:bidi="ar-SA"/>
      </w:rPr>
    </w:lvl>
    <w:lvl w:ilvl="3" w:tplc="B65EA390">
      <w:numFmt w:val="bullet"/>
      <w:lvlText w:val="•"/>
      <w:lvlJc w:val="left"/>
      <w:pPr>
        <w:ind w:left="3306" w:hanging="361"/>
      </w:pPr>
      <w:rPr>
        <w:lang w:val="ro-RO" w:eastAsia="en-US" w:bidi="ar-SA"/>
      </w:rPr>
    </w:lvl>
    <w:lvl w:ilvl="4" w:tplc="48A8A6A2">
      <w:numFmt w:val="bullet"/>
      <w:lvlText w:val="•"/>
      <w:lvlJc w:val="left"/>
      <w:pPr>
        <w:ind w:left="4132" w:hanging="361"/>
      </w:pPr>
      <w:rPr>
        <w:lang w:val="ro-RO" w:eastAsia="en-US" w:bidi="ar-SA"/>
      </w:rPr>
    </w:lvl>
    <w:lvl w:ilvl="5" w:tplc="3F6687BA">
      <w:numFmt w:val="bullet"/>
      <w:lvlText w:val="•"/>
      <w:lvlJc w:val="left"/>
      <w:pPr>
        <w:ind w:left="4959" w:hanging="361"/>
      </w:pPr>
      <w:rPr>
        <w:lang w:val="ro-RO" w:eastAsia="en-US" w:bidi="ar-SA"/>
      </w:rPr>
    </w:lvl>
    <w:lvl w:ilvl="6" w:tplc="8E908CDA">
      <w:numFmt w:val="bullet"/>
      <w:lvlText w:val="•"/>
      <w:lvlJc w:val="left"/>
      <w:pPr>
        <w:ind w:left="5785" w:hanging="361"/>
      </w:pPr>
      <w:rPr>
        <w:lang w:val="ro-RO" w:eastAsia="en-US" w:bidi="ar-SA"/>
      </w:rPr>
    </w:lvl>
    <w:lvl w:ilvl="7" w:tplc="149AC2C8">
      <w:numFmt w:val="bullet"/>
      <w:lvlText w:val="•"/>
      <w:lvlJc w:val="left"/>
      <w:pPr>
        <w:ind w:left="6611" w:hanging="361"/>
      </w:pPr>
      <w:rPr>
        <w:lang w:val="ro-RO" w:eastAsia="en-US" w:bidi="ar-SA"/>
      </w:rPr>
    </w:lvl>
    <w:lvl w:ilvl="8" w:tplc="1FF68D28">
      <w:numFmt w:val="bullet"/>
      <w:lvlText w:val="•"/>
      <w:lvlJc w:val="left"/>
      <w:pPr>
        <w:ind w:left="7438" w:hanging="361"/>
      </w:pPr>
      <w:rPr>
        <w:lang w:val="ro-RO" w:eastAsia="en-US" w:bidi="ar-SA"/>
      </w:rPr>
    </w:lvl>
  </w:abstractNum>
  <w:num w:numId="1" w16cid:durableId="1132213714">
    <w:abstractNumId w:val="0"/>
  </w:num>
  <w:num w:numId="2" w16cid:durableId="1269003548">
    <w:abstractNumId w:val="1"/>
  </w:num>
  <w:num w:numId="3" w16cid:durableId="1249312869">
    <w:abstractNumId w:val="2"/>
  </w:num>
  <w:num w:numId="4" w16cid:durableId="1266814641">
    <w:abstractNumId w:val="4"/>
  </w:num>
  <w:num w:numId="5" w16cid:durableId="284594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10E"/>
    <w:rsid w:val="00014768"/>
    <w:rsid w:val="00137747"/>
    <w:rsid w:val="00203D85"/>
    <w:rsid w:val="002C7BDD"/>
    <w:rsid w:val="00303F03"/>
    <w:rsid w:val="005041D2"/>
    <w:rsid w:val="005415FC"/>
    <w:rsid w:val="0057572C"/>
    <w:rsid w:val="0077542C"/>
    <w:rsid w:val="008063CB"/>
    <w:rsid w:val="00854AF8"/>
    <w:rsid w:val="0099579F"/>
    <w:rsid w:val="00A018EE"/>
    <w:rsid w:val="00A13C63"/>
    <w:rsid w:val="00B11C4B"/>
    <w:rsid w:val="00BC15E1"/>
    <w:rsid w:val="00CA1E29"/>
    <w:rsid w:val="00D72294"/>
    <w:rsid w:val="00DE749F"/>
    <w:rsid w:val="00F3410E"/>
    <w:rsid w:val="00F37273"/>
    <w:rsid w:val="00FF0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17C65"/>
  <w15:chartTrackingRefBased/>
  <w15:docId w15:val="{CEEEB991-AF76-4FC1-B5AA-691152E91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303F03"/>
    <w:pPr>
      <w:widowControl w:val="0"/>
      <w:autoSpaceDE w:val="0"/>
      <w:autoSpaceDN w:val="0"/>
      <w:spacing w:after="0" w:line="240" w:lineRule="auto"/>
    </w:pPr>
    <w:rPr>
      <w:rFonts w:ascii="Microsoft Sans Serif" w:eastAsia="Microsoft Sans Serif" w:hAnsi="Microsoft Sans Serif" w:cs="Microsoft Sans Serif"/>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semiHidden/>
    <w:unhideWhenUsed/>
    <w:qFormat/>
    <w:rsid w:val="00303F03"/>
  </w:style>
  <w:style w:type="character" w:customStyle="1" w:styleId="BodyTextChar">
    <w:name w:val="Body Text Char"/>
    <w:basedOn w:val="DefaultParagraphFont"/>
    <w:link w:val="BodyText"/>
    <w:uiPriority w:val="1"/>
    <w:semiHidden/>
    <w:rsid w:val="00303F03"/>
    <w:rPr>
      <w:rFonts w:ascii="Microsoft Sans Serif" w:eastAsia="Microsoft Sans Serif" w:hAnsi="Microsoft Sans Serif" w:cs="Microsoft Sans Serif"/>
      <w:lang w:val="ro-RO"/>
    </w:rPr>
  </w:style>
  <w:style w:type="paragraph" w:styleId="ListParagraph">
    <w:name w:val="List Paragraph"/>
    <w:basedOn w:val="Normal"/>
    <w:uiPriority w:val="1"/>
    <w:qFormat/>
    <w:rsid w:val="00303F03"/>
    <w:pPr>
      <w:ind w:left="2473" w:right="439" w:hanging="361"/>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4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1408</Words>
  <Characters>8031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Researcher</dc:creator>
  <cp:keywords/>
  <dc:description/>
  <cp:lastModifiedBy>Alin Ionescu</cp:lastModifiedBy>
  <cp:revision>24</cp:revision>
  <cp:lastPrinted>2025-05-19T19:10:00Z</cp:lastPrinted>
  <dcterms:created xsi:type="dcterms:W3CDTF">2024-12-09T13:39:00Z</dcterms:created>
  <dcterms:modified xsi:type="dcterms:W3CDTF">2025-05-25T12:42:00Z</dcterms:modified>
</cp:coreProperties>
</file>